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40DE" w14:textId="64019F69" w:rsidR="00FB5ED6" w:rsidRDefault="00FB5ED6">
      <w:r>
        <w:rPr>
          <w:noProof/>
          <w:lang w:val="en-US"/>
        </w:rPr>
        <w:drawing>
          <wp:anchor distT="0" distB="0" distL="114300" distR="114300" simplePos="0" relativeHeight="251659264" behindDoc="1" locked="0" layoutInCell="1" allowOverlap="1" wp14:anchorId="2D4D62F3" wp14:editId="61A8B01B">
            <wp:simplePos x="0" y="0"/>
            <wp:positionH relativeFrom="margin">
              <wp:posOffset>-419100</wp:posOffset>
            </wp:positionH>
            <wp:positionV relativeFrom="paragraph">
              <wp:posOffset>-662940</wp:posOffset>
            </wp:positionV>
            <wp:extent cx="5684520" cy="2480795"/>
            <wp:effectExtent l="0" t="0" r="0" b="0"/>
            <wp:wrapNone/>
            <wp:docPr id="1" name="Imagem 1" descr="ENR Letter Head 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NR Letter Head H(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206" cy="2488514"/>
                    </a:xfrm>
                    <a:prstGeom prst="rect">
                      <a:avLst/>
                    </a:prstGeom>
                    <a:noFill/>
                  </pic:spPr>
                </pic:pic>
              </a:graphicData>
            </a:graphic>
            <wp14:sizeRelH relativeFrom="page">
              <wp14:pctWidth>0</wp14:pctWidth>
            </wp14:sizeRelH>
            <wp14:sizeRelV relativeFrom="page">
              <wp14:pctHeight>0</wp14:pctHeight>
            </wp14:sizeRelV>
          </wp:anchor>
        </w:drawing>
      </w:r>
    </w:p>
    <w:p w14:paraId="68BDB133" w14:textId="77777777" w:rsidR="00FB5ED6" w:rsidRDefault="00FB5ED6"/>
    <w:p w14:paraId="7CADD718" w14:textId="19A8AC6E" w:rsidR="009B09F6" w:rsidRDefault="009B09F6"/>
    <w:p w14:paraId="76EBA85D" w14:textId="0D3940E7" w:rsidR="00FB5ED6" w:rsidRDefault="00FB5ED6"/>
    <w:p w14:paraId="1837D01B" w14:textId="2E2CE67C" w:rsidR="00FB5ED6" w:rsidRDefault="00FB5ED6"/>
    <w:p w14:paraId="0B92E836" w14:textId="77777777" w:rsidR="00FB5ED6" w:rsidRDefault="00FB5ED6"/>
    <w:p w14:paraId="1BD031A7" w14:textId="7544C7B6" w:rsidR="00FB5ED6" w:rsidRPr="00FB5ED6" w:rsidRDefault="00DC6082" w:rsidP="00FB5ED6">
      <w:pPr>
        <w:shd w:val="clear" w:color="auto" w:fill="D9D9D9"/>
        <w:tabs>
          <w:tab w:val="left" w:pos="-720"/>
          <w:tab w:val="left" w:pos="7513"/>
        </w:tabs>
        <w:ind w:right="43"/>
        <w:jc w:val="center"/>
        <w:rPr>
          <w:rFonts w:ascii="Arial" w:hAnsi="Arial" w:cs="Arial"/>
          <w:b/>
          <w:spacing w:val="-3"/>
          <w:sz w:val="26"/>
          <w:szCs w:val="26"/>
        </w:rPr>
      </w:pPr>
      <w:r>
        <w:rPr>
          <w:rFonts w:ascii="Arial" w:hAnsi="Arial" w:cs="Arial"/>
          <w:b/>
          <w:sz w:val="26"/>
          <w:szCs w:val="26"/>
        </w:rPr>
        <w:t>30th</w:t>
      </w:r>
      <w:r w:rsidR="00FB5ED6" w:rsidRPr="00FB5ED6">
        <w:rPr>
          <w:rFonts w:ascii="Arial" w:hAnsi="Arial" w:cs="Arial"/>
          <w:b/>
          <w:sz w:val="26"/>
          <w:szCs w:val="26"/>
        </w:rPr>
        <w:t xml:space="preserve"> </w:t>
      </w:r>
      <w:r w:rsidR="00D64CF2">
        <w:rPr>
          <w:rFonts w:ascii="Arial" w:hAnsi="Arial" w:cs="Arial"/>
          <w:b/>
          <w:sz w:val="26"/>
          <w:szCs w:val="26"/>
        </w:rPr>
        <w:t>October</w:t>
      </w:r>
      <w:r w:rsidR="00FB5ED6" w:rsidRPr="00FB5ED6">
        <w:rPr>
          <w:rFonts w:ascii="Arial" w:hAnsi="Arial" w:cs="Arial"/>
          <w:b/>
          <w:sz w:val="26"/>
          <w:szCs w:val="26"/>
        </w:rPr>
        <w:t xml:space="preserve"> 20</w:t>
      </w:r>
      <w:r>
        <w:rPr>
          <w:rFonts w:ascii="Arial" w:hAnsi="Arial" w:cs="Arial"/>
          <w:b/>
          <w:sz w:val="26"/>
          <w:szCs w:val="26"/>
        </w:rPr>
        <w:t>20</w:t>
      </w:r>
    </w:p>
    <w:p w14:paraId="1D0D9562" w14:textId="3F0BE36C" w:rsidR="00FB5ED6" w:rsidRPr="00FB5ED6" w:rsidRDefault="00FB5ED6" w:rsidP="00FB5ED6">
      <w:pPr>
        <w:shd w:val="clear" w:color="auto" w:fill="D9D9D9"/>
        <w:tabs>
          <w:tab w:val="left" w:pos="-720"/>
          <w:tab w:val="left" w:pos="7513"/>
        </w:tabs>
        <w:ind w:right="43"/>
        <w:jc w:val="center"/>
        <w:rPr>
          <w:rFonts w:ascii="Arial" w:hAnsi="Arial" w:cs="Arial"/>
          <w:b/>
          <w:spacing w:val="-3"/>
          <w:sz w:val="30"/>
          <w:szCs w:val="30"/>
        </w:rPr>
      </w:pPr>
      <w:proofErr w:type="spellStart"/>
      <w:r w:rsidRPr="00FB5ED6">
        <w:rPr>
          <w:rFonts w:ascii="Arial" w:hAnsi="Arial" w:cs="Arial"/>
          <w:b/>
          <w:spacing w:val="-3"/>
          <w:sz w:val="30"/>
          <w:szCs w:val="30"/>
        </w:rPr>
        <w:t>E</w:t>
      </w:r>
      <w:r w:rsidRPr="00FB5ED6">
        <w:rPr>
          <w:rFonts w:ascii="Arial" w:hAnsi="Arial" w:cs="Arial"/>
          <w:b/>
          <w:spacing w:val="-3"/>
          <w:sz w:val="30"/>
          <w:szCs w:val="30"/>
          <w:vertAlign w:val="superscript"/>
        </w:rPr>
        <w:t>n</w:t>
      </w:r>
      <w:r w:rsidRPr="00FB5ED6">
        <w:rPr>
          <w:rFonts w:ascii="Arial" w:hAnsi="Arial" w:cs="Arial"/>
          <w:b/>
          <w:spacing w:val="-3"/>
          <w:sz w:val="30"/>
          <w:szCs w:val="30"/>
        </w:rPr>
        <w:t>R</w:t>
      </w:r>
      <w:proofErr w:type="spellEnd"/>
      <w:r w:rsidRPr="00FB5ED6">
        <w:rPr>
          <w:rFonts w:ascii="Arial" w:hAnsi="Arial" w:cs="Arial"/>
          <w:b/>
          <w:spacing w:val="-3"/>
          <w:sz w:val="30"/>
          <w:szCs w:val="30"/>
        </w:rPr>
        <w:t xml:space="preserve"> </w:t>
      </w:r>
      <w:r w:rsidR="00D64CF2">
        <w:rPr>
          <w:rFonts w:ascii="Arial" w:hAnsi="Arial" w:cs="Arial"/>
          <w:b/>
          <w:spacing w:val="-3"/>
          <w:sz w:val="30"/>
          <w:szCs w:val="30"/>
        </w:rPr>
        <w:t>Thinking Group</w:t>
      </w:r>
      <w:r w:rsidRPr="00FB5ED6">
        <w:rPr>
          <w:rFonts w:ascii="Arial" w:hAnsi="Arial" w:cs="Arial"/>
          <w:b/>
          <w:spacing w:val="-3"/>
          <w:sz w:val="30"/>
          <w:szCs w:val="30"/>
        </w:rPr>
        <w:t xml:space="preserve"> Meeting </w:t>
      </w:r>
      <w:proofErr w:type="spellStart"/>
      <w:r w:rsidRPr="00FB5ED6">
        <w:rPr>
          <w:rFonts w:ascii="Arial" w:hAnsi="Arial" w:cs="Arial"/>
          <w:b/>
          <w:spacing w:val="-3"/>
          <w:sz w:val="30"/>
          <w:szCs w:val="30"/>
        </w:rPr>
        <w:t>Meeting</w:t>
      </w:r>
      <w:proofErr w:type="spellEnd"/>
      <w:r w:rsidRPr="00FB5ED6">
        <w:rPr>
          <w:rFonts w:ascii="Arial" w:hAnsi="Arial" w:cs="Arial"/>
          <w:b/>
          <w:spacing w:val="-3"/>
          <w:sz w:val="30"/>
          <w:szCs w:val="30"/>
        </w:rPr>
        <w:t xml:space="preserve"> Minutes</w:t>
      </w:r>
    </w:p>
    <w:p w14:paraId="1E62E3FD" w14:textId="77777777" w:rsidR="00FB5ED6" w:rsidRPr="00FB5ED6" w:rsidRDefault="00FB5ED6" w:rsidP="00FB5ED6">
      <w:pPr>
        <w:shd w:val="clear" w:color="auto" w:fill="D9D9D9"/>
        <w:tabs>
          <w:tab w:val="left" w:pos="-720"/>
          <w:tab w:val="left" w:pos="7513"/>
        </w:tabs>
        <w:ind w:right="43"/>
        <w:jc w:val="center"/>
        <w:rPr>
          <w:rFonts w:ascii="Arial" w:hAnsi="Arial" w:cs="Arial"/>
          <w:b/>
          <w:spacing w:val="-3"/>
          <w:sz w:val="16"/>
          <w:szCs w:val="16"/>
        </w:rPr>
      </w:pPr>
    </w:p>
    <w:p w14:paraId="08179128" w14:textId="0E2491D9" w:rsidR="00FB5ED6" w:rsidRDefault="00DC6082" w:rsidP="00FB5ED6">
      <w:pPr>
        <w:shd w:val="clear" w:color="auto" w:fill="D9D9D9"/>
        <w:tabs>
          <w:tab w:val="left" w:pos="-720"/>
          <w:tab w:val="left" w:pos="7513"/>
        </w:tabs>
        <w:ind w:right="43"/>
        <w:jc w:val="center"/>
        <w:rPr>
          <w:rFonts w:ascii="Arial" w:hAnsi="Arial" w:cs="Arial"/>
          <w:szCs w:val="24"/>
        </w:rPr>
      </w:pPr>
      <w:r>
        <w:rPr>
          <w:rFonts w:ascii="Arial" w:hAnsi="Arial" w:cs="Arial"/>
          <w:szCs w:val="24"/>
        </w:rPr>
        <w:t xml:space="preserve">Online meeting via </w:t>
      </w:r>
      <w:proofErr w:type="spellStart"/>
      <w:r>
        <w:rPr>
          <w:rFonts w:ascii="Arial" w:hAnsi="Arial" w:cs="Arial"/>
          <w:szCs w:val="24"/>
        </w:rPr>
        <w:t>Webex</w:t>
      </w:r>
      <w:proofErr w:type="spellEnd"/>
    </w:p>
    <w:p w14:paraId="3B7D9AD3" w14:textId="2BB79343" w:rsidR="00FB5ED6" w:rsidRPr="007C46C5" w:rsidRDefault="00FB5ED6" w:rsidP="00FB5ED6">
      <w:pPr>
        <w:shd w:val="clear" w:color="auto" w:fill="D9D9D9"/>
        <w:tabs>
          <w:tab w:val="left" w:pos="-720"/>
          <w:tab w:val="left" w:pos="7513"/>
        </w:tabs>
        <w:ind w:right="43"/>
        <w:jc w:val="center"/>
        <w:rPr>
          <w:rFonts w:ascii="Arial" w:hAnsi="Arial" w:cs="Arial"/>
          <w:szCs w:val="24"/>
        </w:rPr>
      </w:pPr>
      <w:r>
        <w:rPr>
          <w:rFonts w:ascii="Arial" w:hAnsi="Arial" w:cs="Arial"/>
          <w:szCs w:val="24"/>
        </w:rPr>
        <w:t xml:space="preserve">Chaired by </w:t>
      </w:r>
      <w:r w:rsidR="00DC6082">
        <w:rPr>
          <w:rFonts w:ascii="Arial" w:hAnsi="Arial" w:cs="Arial"/>
          <w:szCs w:val="24"/>
        </w:rPr>
        <w:t>Barto Piersma, RVO, the Netherlands</w:t>
      </w:r>
    </w:p>
    <w:p w14:paraId="6AF8DABB" w14:textId="77777777" w:rsidR="00E22F2B" w:rsidRDefault="00E22F2B">
      <w:pPr>
        <w:rPr>
          <w:i/>
          <w:iCs/>
        </w:rPr>
      </w:pPr>
    </w:p>
    <w:p w14:paraId="035D6ADA" w14:textId="68CD8D66" w:rsidR="00FB5ED6" w:rsidRPr="00E22F2B" w:rsidRDefault="00E37A51">
      <w:pPr>
        <w:rPr>
          <w:i/>
          <w:iCs/>
          <w:sz w:val="18"/>
          <w:szCs w:val="18"/>
        </w:rPr>
      </w:pPr>
      <w:r w:rsidRPr="00E22F2B">
        <w:rPr>
          <w:i/>
          <w:iCs/>
          <w:sz w:val="18"/>
          <w:szCs w:val="18"/>
        </w:rPr>
        <w:t>Participants:</w:t>
      </w:r>
      <w:r w:rsidR="00C9383F" w:rsidRPr="00E22F2B">
        <w:rPr>
          <w:i/>
          <w:iCs/>
          <w:sz w:val="18"/>
          <w:szCs w:val="18"/>
        </w:rPr>
        <w:t xml:space="preserve"> Kerstin &amp; Leonardo (Coordinator CA RES), AEA, Austria,</w:t>
      </w:r>
      <w:r w:rsidR="006D3698">
        <w:rPr>
          <w:i/>
          <w:iCs/>
          <w:sz w:val="18"/>
          <w:szCs w:val="18"/>
        </w:rPr>
        <w:t xml:space="preserve"> </w:t>
      </w:r>
      <w:proofErr w:type="spellStart"/>
      <w:r w:rsidR="006D3698">
        <w:rPr>
          <w:i/>
          <w:iCs/>
          <w:sz w:val="18"/>
          <w:szCs w:val="18"/>
        </w:rPr>
        <w:t>Tsveti</w:t>
      </w:r>
      <w:proofErr w:type="spellEnd"/>
      <w:r w:rsidR="006D3698">
        <w:rPr>
          <w:i/>
          <w:iCs/>
          <w:sz w:val="18"/>
          <w:szCs w:val="18"/>
        </w:rPr>
        <w:t xml:space="preserve"> &amp; </w:t>
      </w:r>
      <w:proofErr w:type="spellStart"/>
      <w:r w:rsidR="006D3698">
        <w:rPr>
          <w:i/>
          <w:iCs/>
          <w:sz w:val="18"/>
          <w:szCs w:val="18"/>
        </w:rPr>
        <w:t>Ognian</w:t>
      </w:r>
      <w:proofErr w:type="spellEnd"/>
      <w:r w:rsidR="006D3698">
        <w:rPr>
          <w:i/>
          <w:iCs/>
          <w:sz w:val="18"/>
          <w:szCs w:val="18"/>
        </w:rPr>
        <w:t>, SEDA, Bulgaria,</w:t>
      </w:r>
      <w:r w:rsidR="00C9383F" w:rsidRPr="00E22F2B">
        <w:rPr>
          <w:i/>
          <w:iCs/>
          <w:sz w:val="18"/>
          <w:szCs w:val="18"/>
        </w:rPr>
        <w:t xml:space="preserve"> </w:t>
      </w:r>
      <w:proofErr w:type="spellStart"/>
      <w:r w:rsidR="00C9383F" w:rsidRPr="00E22F2B">
        <w:rPr>
          <w:i/>
          <w:iCs/>
          <w:sz w:val="18"/>
          <w:szCs w:val="18"/>
        </w:rPr>
        <w:t>Irmeil</w:t>
      </w:r>
      <w:proofErr w:type="spellEnd"/>
      <w:r w:rsidR="00C9383F" w:rsidRPr="00E22F2B">
        <w:rPr>
          <w:i/>
          <w:iCs/>
          <w:sz w:val="18"/>
          <w:szCs w:val="18"/>
        </w:rPr>
        <w:t xml:space="preserve">, </w:t>
      </w:r>
      <w:r w:rsidR="00E22F2B">
        <w:rPr>
          <w:i/>
          <w:iCs/>
          <w:sz w:val="18"/>
          <w:szCs w:val="18"/>
        </w:rPr>
        <w:t>M</w:t>
      </w:r>
      <w:r w:rsidR="00C9383F" w:rsidRPr="00E22F2B">
        <w:rPr>
          <w:i/>
          <w:iCs/>
          <w:sz w:val="18"/>
          <w:szCs w:val="18"/>
        </w:rPr>
        <w:t xml:space="preserve">otiva, Finland, Irina,  </w:t>
      </w:r>
      <w:proofErr w:type="spellStart"/>
      <w:r w:rsidR="00C9383F" w:rsidRPr="00E22F2B">
        <w:rPr>
          <w:i/>
          <w:iCs/>
          <w:sz w:val="18"/>
          <w:szCs w:val="18"/>
        </w:rPr>
        <w:t>Ademe</w:t>
      </w:r>
      <w:proofErr w:type="spellEnd"/>
      <w:r w:rsidR="00C9383F" w:rsidRPr="00E22F2B">
        <w:rPr>
          <w:i/>
          <w:iCs/>
          <w:sz w:val="18"/>
          <w:szCs w:val="18"/>
        </w:rPr>
        <w:t>, France, Vasilis, Char</w:t>
      </w:r>
      <w:r w:rsidR="00C81FCE">
        <w:rPr>
          <w:i/>
          <w:iCs/>
          <w:sz w:val="18"/>
          <w:szCs w:val="18"/>
        </w:rPr>
        <w:t>ala</w:t>
      </w:r>
      <w:bookmarkStart w:id="0" w:name="_GoBack"/>
      <w:bookmarkEnd w:id="0"/>
      <w:r w:rsidR="00C9383F" w:rsidRPr="00E22F2B">
        <w:rPr>
          <w:i/>
          <w:iCs/>
          <w:sz w:val="18"/>
          <w:szCs w:val="18"/>
        </w:rPr>
        <w:t xml:space="preserve">mpos, CRES, Greece, Helen, SEAI, Ireland, Roberta, Alessandro, Enrico, </w:t>
      </w:r>
      <w:proofErr w:type="spellStart"/>
      <w:r w:rsidR="00C9383F" w:rsidRPr="00E22F2B">
        <w:rPr>
          <w:i/>
          <w:iCs/>
          <w:sz w:val="18"/>
          <w:szCs w:val="18"/>
        </w:rPr>
        <w:t>Enea</w:t>
      </w:r>
      <w:proofErr w:type="spellEnd"/>
      <w:r w:rsidR="00C9383F" w:rsidRPr="00E22F2B">
        <w:rPr>
          <w:i/>
          <w:iCs/>
          <w:sz w:val="18"/>
          <w:szCs w:val="18"/>
        </w:rPr>
        <w:t xml:space="preserve">, Italy, Charles, Manuel, EWA, Malta, Barto, Bert, Marian, Rebecca, Wiesje, Jacques, Marion, RVO &amp; Frank (Consultant), the Netherlands, Luis, Rui, </w:t>
      </w:r>
      <w:proofErr w:type="spellStart"/>
      <w:r w:rsidR="00C9383F" w:rsidRPr="00E22F2B">
        <w:rPr>
          <w:i/>
          <w:iCs/>
          <w:sz w:val="18"/>
          <w:szCs w:val="18"/>
        </w:rPr>
        <w:t>Adene</w:t>
      </w:r>
      <w:proofErr w:type="spellEnd"/>
      <w:r w:rsidR="00C9383F" w:rsidRPr="00E22F2B">
        <w:rPr>
          <w:i/>
          <w:iCs/>
          <w:sz w:val="18"/>
          <w:szCs w:val="18"/>
        </w:rPr>
        <w:t>, Portugal, Stanislas, SIEA, Slovakia, Virginia, Marisa, Miguel, IDEA, Spain, Josephine, STEM, Sweden, Anil, DEEE, Turkey, Philip, Emilie, Katie, Colin, EST, UK</w:t>
      </w:r>
    </w:p>
    <w:tbl>
      <w:tblPr>
        <w:tblStyle w:val="Tabelraster"/>
        <w:tblW w:w="0" w:type="auto"/>
        <w:tblLook w:val="04A0" w:firstRow="1" w:lastRow="0" w:firstColumn="1" w:lastColumn="0" w:noHBand="0" w:noVBand="1"/>
      </w:tblPr>
      <w:tblGrid>
        <w:gridCol w:w="641"/>
        <w:gridCol w:w="7057"/>
        <w:gridCol w:w="1318"/>
      </w:tblGrid>
      <w:tr w:rsidR="00FB5ED6" w14:paraId="2F8A79D8" w14:textId="77777777" w:rsidTr="00493F43">
        <w:tc>
          <w:tcPr>
            <w:tcW w:w="641" w:type="dxa"/>
          </w:tcPr>
          <w:p w14:paraId="710174BB" w14:textId="28B421C9" w:rsidR="00FB5ED6" w:rsidRPr="00FB5ED6" w:rsidRDefault="00FB5ED6" w:rsidP="00E37A51">
            <w:pPr>
              <w:rPr>
                <w:b/>
              </w:rPr>
            </w:pPr>
            <w:r w:rsidRPr="00FB5ED6">
              <w:rPr>
                <w:b/>
              </w:rPr>
              <w:t>Item</w:t>
            </w:r>
          </w:p>
        </w:tc>
        <w:tc>
          <w:tcPr>
            <w:tcW w:w="7057" w:type="dxa"/>
          </w:tcPr>
          <w:p w14:paraId="5FE81EBF" w14:textId="28DB7549" w:rsidR="00FB5ED6" w:rsidRPr="00FB5ED6" w:rsidRDefault="00FB5ED6" w:rsidP="00E37A51">
            <w:pPr>
              <w:rPr>
                <w:b/>
              </w:rPr>
            </w:pPr>
            <w:r w:rsidRPr="00FB5ED6">
              <w:rPr>
                <w:b/>
              </w:rPr>
              <w:t>Description</w:t>
            </w:r>
          </w:p>
        </w:tc>
        <w:tc>
          <w:tcPr>
            <w:tcW w:w="1318" w:type="dxa"/>
          </w:tcPr>
          <w:p w14:paraId="66F0661E" w14:textId="048F6CAB" w:rsidR="00FB5ED6" w:rsidRPr="00FB5ED6" w:rsidRDefault="00FB5ED6" w:rsidP="00E37A51">
            <w:pPr>
              <w:rPr>
                <w:b/>
              </w:rPr>
            </w:pPr>
            <w:r w:rsidRPr="00FB5ED6">
              <w:rPr>
                <w:b/>
              </w:rPr>
              <w:t>Responsible</w:t>
            </w:r>
          </w:p>
        </w:tc>
      </w:tr>
      <w:tr w:rsidR="00FB5ED6" w14:paraId="27FEC118" w14:textId="77777777" w:rsidTr="00493F43">
        <w:tc>
          <w:tcPr>
            <w:tcW w:w="641" w:type="dxa"/>
          </w:tcPr>
          <w:p w14:paraId="6E71315A" w14:textId="77E92A67" w:rsidR="00FB5ED6" w:rsidRPr="00FB5ED6" w:rsidRDefault="00FB5ED6" w:rsidP="00FB5ED6">
            <w:pPr>
              <w:rPr>
                <w:b/>
              </w:rPr>
            </w:pPr>
            <w:r w:rsidRPr="00FB5ED6">
              <w:rPr>
                <w:b/>
              </w:rPr>
              <w:t>1</w:t>
            </w:r>
          </w:p>
        </w:tc>
        <w:tc>
          <w:tcPr>
            <w:tcW w:w="7057" w:type="dxa"/>
          </w:tcPr>
          <w:p w14:paraId="0BF513BB" w14:textId="77777777" w:rsidR="00FB5ED6" w:rsidRDefault="00E37A51" w:rsidP="00FB5ED6">
            <w:pPr>
              <w:rPr>
                <w:b/>
              </w:rPr>
            </w:pPr>
            <w:r>
              <w:rPr>
                <w:b/>
              </w:rPr>
              <w:t>Welcome &amp; Opening</w:t>
            </w:r>
          </w:p>
          <w:p w14:paraId="7D7CA994" w14:textId="77777777" w:rsidR="00E37A51" w:rsidRDefault="00E37A51" w:rsidP="00FB5ED6">
            <w:pPr>
              <w:rPr>
                <w:bCs/>
              </w:rPr>
            </w:pPr>
            <w:r w:rsidRPr="00E37A51">
              <w:rPr>
                <w:bCs/>
              </w:rPr>
              <w:t xml:space="preserve">Barto welcomed all participants to the meeting. It was noted that almost all member agencies were represented. </w:t>
            </w:r>
          </w:p>
          <w:p w14:paraId="077F3A64" w14:textId="2FE85CD3" w:rsidR="00E37A51" w:rsidRPr="00E37A51" w:rsidRDefault="00E37A51" w:rsidP="00FB5ED6">
            <w:pPr>
              <w:rPr>
                <w:bCs/>
              </w:rPr>
            </w:pPr>
            <w:r>
              <w:rPr>
                <w:bCs/>
              </w:rPr>
              <w:t>Agenda M66 adopted.</w:t>
            </w:r>
          </w:p>
        </w:tc>
        <w:tc>
          <w:tcPr>
            <w:tcW w:w="1318" w:type="dxa"/>
          </w:tcPr>
          <w:p w14:paraId="36EFC8FF" w14:textId="61576774" w:rsidR="00FB5ED6" w:rsidRDefault="00E37A51" w:rsidP="00FB5ED6">
            <w:r>
              <w:t>Barto</w:t>
            </w:r>
          </w:p>
        </w:tc>
      </w:tr>
      <w:tr w:rsidR="00FB5ED6" w14:paraId="7A02BFBB" w14:textId="77777777" w:rsidTr="00493F43">
        <w:tc>
          <w:tcPr>
            <w:tcW w:w="641" w:type="dxa"/>
          </w:tcPr>
          <w:p w14:paraId="7342831E" w14:textId="1CE23C86" w:rsidR="00FB5ED6" w:rsidRDefault="00E37A51" w:rsidP="00FB5ED6">
            <w:r>
              <w:t xml:space="preserve">2. </w:t>
            </w:r>
          </w:p>
        </w:tc>
        <w:tc>
          <w:tcPr>
            <w:tcW w:w="7057" w:type="dxa"/>
          </w:tcPr>
          <w:p w14:paraId="63FFE4A8" w14:textId="77777777" w:rsidR="00FB5ED6" w:rsidRPr="009C3DCA" w:rsidRDefault="00E37A51" w:rsidP="00E37A51">
            <w:pPr>
              <w:rPr>
                <w:b/>
                <w:bCs/>
              </w:rPr>
            </w:pPr>
            <w:r w:rsidRPr="009C3DCA">
              <w:rPr>
                <w:b/>
                <w:bCs/>
              </w:rPr>
              <w:t>Introduction Smart Sector Integration</w:t>
            </w:r>
          </w:p>
          <w:p w14:paraId="584D4495" w14:textId="77777777" w:rsidR="00E37A51" w:rsidRDefault="009C3DCA" w:rsidP="00E37A51">
            <w:r>
              <w:t>Marian briefly introduced the subject – a means not a goal.</w:t>
            </w:r>
          </w:p>
          <w:p w14:paraId="58DAA116" w14:textId="77777777" w:rsidR="009C3DCA" w:rsidRDefault="009C3DCA" w:rsidP="00E37A51">
            <w:r>
              <w:t>The Task Force continues to support the analysis work of Frank and Jacques. Many insp</w:t>
            </w:r>
            <w:r w:rsidR="008441E4">
              <w:t>i</w:t>
            </w:r>
            <w:r>
              <w:t xml:space="preserve">ring examples of smart sector integration have been identified and Frank and Jacques are now delving deeper into the projects, looking at </w:t>
            </w:r>
            <w:r w:rsidR="008441E4">
              <w:t>h</w:t>
            </w:r>
            <w:r>
              <w:t>ow they were implemented, what role the agencies played etc. through a series of interviews with technical and policy experts on the topic.</w:t>
            </w:r>
            <w:r w:rsidR="008441E4">
              <w:t xml:space="preserve"> It is evident that the Commission is interested in this topic and that it should be inclusive/ just.</w:t>
            </w:r>
          </w:p>
          <w:p w14:paraId="37C90A6D" w14:textId="77777777" w:rsidR="008441E4" w:rsidRDefault="008441E4" w:rsidP="00E37A51">
            <w:r>
              <w:t>At the Regular meeting held in June Bert talked about the different levels of smart integration – international, national, local. Jacques zoomed in on the local involvement, highlighting the obstacles and possible solutions and roles for the energy agencies – bridging the gap between policy and practice.</w:t>
            </w:r>
          </w:p>
          <w:p w14:paraId="59AD0817" w14:textId="134C4606" w:rsidR="000039C1" w:rsidRPr="00B8442D" w:rsidRDefault="000039C1" w:rsidP="00E37A51">
            <w:r>
              <w:t>All participants were asked prior to the meeting in which break-out group they would like to participate. The groups will be led by Jacques, Frank and Marion Bakker – new to this network. She is an expert in Smart sector integration</w:t>
            </w:r>
            <w:r w:rsidR="00E22F2B">
              <w:t>,</w:t>
            </w:r>
            <w:r>
              <w:t xml:space="preserve"> and will focus on the consumer and policy engagement side. </w:t>
            </w:r>
            <w:r w:rsidR="00E22F2B">
              <w:t>Marian then</w:t>
            </w:r>
            <w:r>
              <w:t xml:space="preserve"> invited Frank to provide a short update on the interviews followed by short pitches on each of the case studies.</w:t>
            </w:r>
          </w:p>
        </w:tc>
        <w:tc>
          <w:tcPr>
            <w:tcW w:w="1318" w:type="dxa"/>
          </w:tcPr>
          <w:p w14:paraId="5E1C2D4D" w14:textId="5AC6684C" w:rsidR="00FB5ED6" w:rsidRDefault="00E37A51" w:rsidP="00FB5ED6">
            <w:r>
              <w:t>Marian</w:t>
            </w:r>
          </w:p>
        </w:tc>
      </w:tr>
      <w:tr w:rsidR="00A608B3" w14:paraId="2D1E7EFD" w14:textId="77777777" w:rsidTr="00493F43">
        <w:tc>
          <w:tcPr>
            <w:tcW w:w="641" w:type="dxa"/>
          </w:tcPr>
          <w:p w14:paraId="32B918E0" w14:textId="4044AE2E" w:rsidR="00A608B3" w:rsidRDefault="00C81B65" w:rsidP="00FB5ED6">
            <w:r>
              <w:t>3.</w:t>
            </w:r>
          </w:p>
        </w:tc>
        <w:tc>
          <w:tcPr>
            <w:tcW w:w="7057" w:type="dxa"/>
          </w:tcPr>
          <w:p w14:paraId="165AEDDD" w14:textId="77777777" w:rsidR="00A608B3" w:rsidRPr="000039C1" w:rsidRDefault="00C81B65" w:rsidP="00AB0DE2">
            <w:pPr>
              <w:jc w:val="both"/>
              <w:rPr>
                <w:rFonts w:ascii="Calibri" w:eastAsia="Calibri" w:hAnsi="Calibri"/>
                <w:b/>
                <w:color w:val="000000"/>
              </w:rPr>
            </w:pPr>
            <w:r w:rsidRPr="000039C1">
              <w:rPr>
                <w:rFonts w:ascii="Calibri" w:eastAsia="Calibri" w:hAnsi="Calibri"/>
                <w:b/>
                <w:color w:val="000000"/>
              </w:rPr>
              <w:t>Pitches – 3 Case Studies:</w:t>
            </w:r>
          </w:p>
          <w:p w14:paraId="489C933D" w14:textId="77777777" w:rsidR="00C81B65" w:rsidRPr="000039C1" w:rsidRDefault="00C81B65" w:rsidP="00AB0DE2">
            <w:pPr>
              <w:jc w:val="both"/>
              <w:rPr>
                <w:rFonts w:ascii="Calibri" w:eastAsia="Calibri" w:hAnsi="Calibri"/>
                <w:b/>
                <w:color w:val="000000"/>
              </w:rPr>
            </w:pPr>
          </w:p>
          <w:p w14:paraId="432B5DB6" w14:textId="77777777" w:rsidR="00C81B65" w:rsidRPr="000039C1" w:rsidRDefault="00C81B65" w:rsidP="00C81B65">
            <w:pPr>
              <w:pStyle w:val="Lijstalinea"/>
              <w:numPr>
                <w:ilvl w:val="0"/>
                <w:numId w:val="27"/>
              </w:numPr>
              <w:jc w:val="both"/>
              <w:rPr>
                <w:rFonts w:ascii="Calibri" w:eastAsia="Calibri" w:hAnsi="Calibri"/>
                <w:b/>
                <w:color w:val="000000"/>
              </w:rPr>
            </w:pPr>
            <w:r w:rsidRPr="000039C1">
              <w:rPr>
                <w:rFonts w:ascii="Calibri" w:eastAsia="Calibri" w:hAnsi="Calibri"/>
                <w:b/>
                <w:color w:val="000000"/>
              </w:rPr>
              <w:t>Smart Building-integrated PV Systems</w:t>
            </w:r>
          </w:p>
          <w:p w14:paraId="279FF32C" w14:textId="77777777" w:rsidR="00C81B65" w:rsidRPr="000039C1" w:rsidRDefault="00C81B65" w:rsidP="00C81B65">
            <w:pPr>
              <w:pStyle w:val="Lijstalinea"/>
              <w:numPr>
                <w:ilvl w:val="0"/>
                <w:numId w:val="27"/>
              </w:numPr>
              <w:jc w:val="both"/>
              <w:rPr>
                <w:rFonts w:ascii="Calibri" w:eastAsia="Calibri" w:hAnsi="Calibri"/>
                <w:b/>
                <w:color w:val="000000"/>
              </w:rPr>
            </w:pPr>
            <w:r w:rsidRPr="000039C1">
              <w:rPr>
                <w:rFonts w:ascii="Calibri" w:eastAsia="Calibri" w:hAnsi="Calibri"/>
                <w:b/>
                <w:color w:val="000000"/>
              </w:rPr>
              <w:t xml:space="preserve">Smart Integration of Renewables and </w:t>
            </w:r>
            <w:r w:rsidR="00BE2C14" w:rsidRPr="000039C1">
              <w:rPr>
                <w:rFonts w:ascii="Calibri" w:eastAsia="Calibri" w:hAnsi="Calibri"/>
                <w:b/>
                <w:color w:val="000000"/>
              </w:rPr>
              <w:t>vehicle charging</w:t>
            </w:r>
          </w:p>
          <w:p w14:paraId="6C0B3B58" w14:textId="77777777" w:rsidR="00BE2C14" w:rsidRPr="000039C1" w:rsidRDefault="00BE2C14" w:rsidP="00C81B65">
            <w:pPr>
              <w:pStyle w:val="Lijstalinea"/>
              <w:numPr>
                <w:ilvl w:val="0"/>
                <w:numId w:val="27"/>
              </w:numPr>
              <w:jc w:val="both"/>
              <w:rPr>
                <w:rFonts w:ascii="Calibri" w:eastAsia="Calibri" w:hAnsi="Calibri"/>
                <w:b/>
                <w:color w:val="000000"/>
              </w:rPr>
            </w:pPr>
            <w:r w:rsidRPr="000039C1">
              <w:rPr>
                <w:rFonts w:ascii="Calibri" w:eastAsia="Calibri" w:hAnsi="Calibri"/>
                <w:b/>
                <w:color w:val="000000"/>
              </w:rPr>
              <w:t xml:space="preserve">Consumer and policy engagement – win-win? </w:t>
            </w:r>
          </w:p>
          <w:p w14:paraId="1D125A43" w14:textId="77777777" w:rsidR="00BE2C14" w:rsidRPr="000039C1" w:rsidRDefault="00BE2C14" w:rsidP="00BE2C14">
            <w:pPr>
              <w:ind w:left="360"/>
              <w:jc w:val="both"/>
              <w:rPr>
                <w:rFonts w:ascii="Calibri" w:eastAsia="Calibri" w:hAnsi="Calibri"/>
                <w:b/>
                <w:color w:val="000000"/>
              </w:rPr>
            </w:pPr>
            <w:r w:rsidRPr="000039C1">
              <w:rPr>
                <w:rFonts w:ascii="Calibri" w:eastAsia="Calibri" w:hAnsi="Calibri"/>
                <w:b/>
                <w:color w:val="000000"/>
              </w:rPr>
              <w:t>What intermediary role could energy agencies play?</w:t>
            </w:r>
          </w:p>
          <w:p w14:paraId="272669A2" w14:textId="77777777" w:rsidR="00E22F2B" w:rsidRDefault="00E22F2B" w:rsidP="00BE2C14">
            <w:pPr>
              <w:jc w:val="both"/>
              <w:rPr>
                <w:rFonts w:ascii="Calibri" w:eastAsia="Calibri" w:hAnsi="Calibri"/>
                <w:bCs/>
                <w:color w:val="000000"/>
              </w:rPr>
            </w:pPr>
          </w:p>
          <w:p w14:paraId="68CCF29B" w14:textId="70271A3C" w:rsidR="00BE2C14" w:rsidRDefault="00BE2C14" w:rsidP="00BE2C14">
            <w:pPr>
              <w:jc w:val="both"/>
              <w:rPr>
                <w:rFonts w:ascii="Calibri" w:eastAsia="Calibri" w:hAnsi="Calibri"/>
                <w:bCs/>
                <w:color w:val="000000"/>
              </w:rPr>
            </w:pPr>
            <w:r w:rsidRPr="00BE2C14">
              <w:rPr>
                <w:rFonts w:ascii="Calibri" w:eastAsia="Calibri" w:hAnsi="Calibri"/>
                <w:bCs/>
                <w:color w:val="000000"/>
              </w:rPr>
              <w:t xml:space="preserve">Before splitting into break-out sessions on the 3 topics mentioned above, Frank gave a brief update. He explained that he had started with the interviews, but that it had proven more difficult than first anticipated to identify the right persons to interview. </w:t>
            </w:r>
            <w:r w:rsidR="002761C5">
              <w:rPr>
                <w:rFonts w:ascii="Calibri" w:eastAsia="Calibri" w:hAnsi="Calibri"/>
                <w:bCs/>
                <w:color w:val="000000"/>
              </w:rPr>
              <w:t>Most</w:t>
            </w:r>
            <w:r w:rsidRPr="00BE2C14">
              <w:rPr>
                <w:rFonts w:ascii="Calibri" w:eastAsia="Calibri" w:hAnsi="Calibri"/>
                <w:bCs/>
                <w:color w:val="000000"/>
              </w:rPr>
              <w:t xml:space="preserve"> interviews will be held during the month of November, with the aim to get as many results as possible in time for the Round Table event with the Commission on 25</w:t>
            </w:r>
            <w:r w:rsidRPr="00BE2C14">
              <w:rPr>
                <w:rFonts w:ascii="Calibri" w:eastAsia="Calibri" w:hAnsi="Calibri"/>
                <w:bCs/>
                <w:color w:val="000000"/>
                <w:vertAlign w:val="superscript"/>
              </w:rPr>
              <w:t>th</w:t>
            </w:r>
            <w:r w:rsidRPr="00BE2C14">
              <w:rPr>
                <w:rFonts w:ascii="Calibri" w:eastAsia="Calibri" w:hAnsi="Calibri"/>
                <w:bCs/>
                <w:color w:val="000000"/>
              </w:rPr>
              <w:t xml:space="preserve"> November.</w:t>
            </w:r>
          </w:p>
          <w:p w14:paraId="0180E8E9" w14:textId="025EAF65" w:rsidR="00BE2C14" w:rsidRDefault="00BE2C14" w:rsidP="00BE2C14">
            <w:pPr>
              <w:jc w:val="both"/>
              <w:rPr>
                <w:rFonts w:ascii="Calibri" w:eastAsia="Calibri" w:hAnsi="Calibri"/>
                <w:bCs/>
                <w:color w:val="000000"/>
              </w:rPr>
            </w:pPr>
            <w:r>
              <w:rPr>
                <w:rFonts w:ascii="Calibri" w:eastAsia="Calibri" w:hAnsi="Calibri"/>
                <w:bCs/>
                <w:color w:val="000000"/>
              </w:rPr>
              <w:t>So far we have received a great variety of inspirational examples (taken also fr</w:t>
            </w:r>
            <w:r w:rsidR="000632F5">
              <w:rPr>
                <w:rFonts w:ascii="Calibri" w:eastAsia="Calibri" w:hAnsi="Calibri"/>
                <w:bCs/>
                <w:color w:val="000000"/>
              </w:rPr>
              <w:t>o</w:t>
            </w:r>
            <w:r>
              <w:rPr>
                <w:rFonts w:ascii="Calibri" w:eastAsia="Calibri" w:hAnsi="Calibri"/>
                <w:bCs/>
                <w:color w:val="000000"/>
              </w:rPr>
              <w:t>m the homework carried out pr</w:t>
            </w:r>
            <w:r w:rsidR="00040448">
              <w:rPr>
                <w:rFonts w:ascii="Calibri" w:eastAsia="Calibri" w:hAnsi="Calibri"/>
                <w:bCs/>
                <w:color w:val="000000"/>
              </w:rPr>
              <w:t>ior</w:t>
            </w:r>
            <w:r>
              <w:rPr>
                <w:rFonts w:ascii="Calibri" w:eastAsia="Calibri" w:hAnsi="Calibri"/>
                <w:bCs/>
                <w:color w:val="000000"/>
              </w:rPr>
              <w:t xml:space="preserve"> to the meeting in June and the Factsheets)</w:t>
            </w:r>
            <w:r w:rsidR="00040448">
              <w:rPr>
                <w:rFonts w:ascii="Calibri" w:eastAsia="Calibri" w:hAnsi="Calibri"/>
                <w:bCs/>
                <w:color w:val="000000"/>
              </w:rPr>
              <w:t>, which makes it difficult to analyse.</w:t>
            </w:r>
          </w:p>
          <w:p w14:paraId="71A38498" w14:textId="77777777" w:rsidR="00C07D82" w:rsidRDefault="00C07D82" w:rsidP="00BE2C14">
            <w:pPr>
              <w:jc w:val="both"/>
              <w:rPr>
                <w:rFonts w:ascii="Calibri" w:eastAsia="Calibri" w:hAnsi="Calibri"/>
                <w:bCs/>
                <w:color w:val="000000"/>
              </w:rPr>
            </w:pPr>
            <w:r>
              <w:rPr>
                <w:rFonts w:ascii="Calibri" w:eastAsia="Calibri" w:hAnsi="Calibri"/>
                <w:bCs/>
                <w:color w:val="000000"/>
              </w:rPr>
              <w:t>Frank mentioned the challenge to find markets to give a voice to technical opportunities and the challenge of innovation and new concepts versus regulation</w:t>
            </w:r>
            <w:r w:rsidR="00A0359C">
              <w:rPr>
                <w:rFonts w:ascii="Calibri" w:eastAsia="Calibri" w:hAnsi="Calibri"/>
                <w:bCs/>
                <w:color w:val="000000"/>
              </w:rPr>
              <w:t xml:space="preserve"> which can be a hindrance to smart integration. </w:t>
            </w:r>
          </w:p>
          <w:p w14:paraId="3312C047" w14:textId="77777777" w:rsidR="00B470B4" w:rsidRDefault="00B470B4" w:rsidP="00BE2C14">
            <w:pPr>
              <w:jc w:val="both"/>
              <w:rPr>
                <w:rFonts w:ascii="Calibri" w:eastAsia="Calibri" w:hAnsi="Calibri"/>
                <w:bCs/>
                <w:color w:val="000000"/>
              </w:rPr>
            </w:pPr>
          </w:p>
          <w:p w14:paraId="4EE62E7C" w14:textId="77777777" w:rsidR="00B470B4" w:rsidRDefault="00B470B4" w:rsidP="00BE2C14">
            <w:pPr>
              <w:jc w:val="both"/>
              <w:rPr>
                <w:rFonts w:ascii="Calibri" w:eastAsia="Calibri" w:hAnsi="Calibri"/>
                <w:bCs/>
                <w:color w:val="000000"/>
              </w:rPr>
            </w:pPr>
            <w:r>
              <w:rPr>
                <w:rFonts w:ascii="Calibri" w:eastAsia="Calibri" w:hAnsi="Calibri"/>
                <w:bCs/>
                <w:color w:val="000000"/>
              </w:rPr>
              <w:t>Jacques, Frank and Marion each gave a short pitch on their respective case study. Please refer to the presentations.</w:t>
            </w:r>
          </w:p>
          <w:p w14:paraId="544D6DC2" w14:textId="77777777" w:rsidR="00B470B4" w:rsidRDefault="00B470B4" w:rsidP="00BE2C14">
            <w:pPr>
              <w:jc w:val="both"/>
              <w:rPr>
                <w:rFonts w:ascii="Calibri" w:eastAsia="Calibri" w:hAnsi="Calibri"/>
                <w:bCs/>
                <w:color w:val="000000"/>
              </w:rPr>
            </w:pPr>
          </w:p>
          <w:p w14:paraId="2D63A482" w14:textId="77777777" w:rsidR="00B470B4" w:rsidRDefault="00B470B4" w:rsidP="00BE2C14">
            <w:pPr>
              <w:jc w:val="both"/>
              <w:rPr>
                <w:rFonts w:ascii="Calibri" w:eastAsia="Calibri" w:hAnsi="Calibri"/>
                <w:bCs/>
                <w:color w:val="000000"/>
              </w:rPr>
            </w:pPr>
            <w:r>
              <w:rPr>
                <w:rFonts w:ascii="Calibri" w:eastAsia="Calibri" w:hAnsi="Calibri"/>
                <w:bCs/>
                <w:color w:val="000000"/>
              </w:rPr>
              <w:t>Philip queried whether Jacques would cover the cooperative movement (i.e. cooperate and share benefits). Jacques confirmed that he would cover this.</w:t>
            </w:r>
          </w:p>
          <w:p w14:paraId="5165C6BA" w14:textId="77777777" w:rsidR="00B470B4" w:rsidRDefault="00B470B4" w:rsidP="00BE2C14">
            <w:pPr>
              <w:jc w:val="both"/>
              <w:rPr>
                <w:rFonts w:ascii="Calibri" w:eastAsia="Calibri" w:hAnsi="Calibri"/>
                <w:bCs/>
                <w:color w:val="000000"/>
              </w:rPr>
            </w:pPr>
          </w:p>
          <w:p w14:paraId="01FC1222" w14:textId="5F6E3040" w:rsidR="00B470B4" w:rsidRPr="00BE2C14" w:rsidRDefault="00B470B4" w:rsidP="00B470B4">
            <w:pPr>
              <w:jc w:val="both"/>
              <w:rPr>
                <w:rFonts w:ascii="Calibri" w:eastAsia="Calibri" w:hAnsi="Calibri"/>
                <w:bCs/>
                <w:color w:val="000000"/>
              </w:rPr>
            </w:pPr>
          </w:p>
        </w:tc>
        <w:tc>
          <w:tcPr>
            <w:tcW w:w="1318" w:type="dxa"/>
          </w:tcPr>
          <w:p w14:paraId="02F11947" w14:textId="77777777" w:rsidR="00A608B3" w:rsidRDefault="00A608B3" w:rsidP="00FB5ED6"/>
          <w:p w14:paraId="5F6E428A" w14:textId="77777777" w:rsidR="00BE2C14" w:rsidRDefault="00BE2C14" w:rsidP="00FB5ED6"/>
          <w:p w14:paraId="3BC700A3" w14:textId="77777777" w:rsidR="00BE2C14" w:rsidRDefault="00BE2C14" w:rsidP="00FB5ED6">
            <w:r>
              <w:t>Jacques</w:t>
            </w:r>
          </w:p>
          <w:p w14:paraId="78E874B2" w14:textId="77777777" w:rsidR="00BE2C14" w:rsidRDefault="00BE2C14" w:rsidP="00FB5ED6">
            <w:r>
              <w:t>Frank</w:t>
            </w:r>
          </w:p>
          <w:p w14:paraId="3E506424" w14:textId="53A259F7" w:rsidR="00BE2C14" w:rsidRDefault="00BE2C14" w:rsidP="00FB5ED6">
            <w:r>
              <w:t>Marion</w:t>
            </w:r>
          </w:p>
        </w:tc>
      </w:tr>
      <w:tr w:rsidR="00A608B3" w14:paraId="57BDB10D" w14:textId="77777777" w:rsidTr="00493F43">
        <w:tc>
          <w:tcPr>
            <w:tcW w:w="641" w:type="dxa"/>
          </w:tcPr>
          <w:p w14:paraId="3ADB286E" w14:textId="5FB54E80" w:rsidR="00A608B3" w:rsidRDefault="00B470B4" w:rsidP="00FB5ED6">
            <w:r>
              <w:lastRenderedPageBreak/>
              <w:t>4.</w:t>
            </w:r>
          </w:p>
        </w:tc>
        <w:tc>
          <w:tcPr>
            <w:tcW w:w="7057" w:type="dxa"/>
          </w:tcPr>
          <w:p w14:paraId="4F71A5C3" w14:textId="55E7B398" w:rsidR="00DC6082" w:rsidRDefault="00B470B4" w:rsidP="00C81B65">
            <w:pPr>
              <w:jc w:val="both"/>
              <w:rPr>
                <w:rFonts w:ascii="Calibri" w:eastAsia="Calibri" w:hAnsi="Calibri"/>
                <w:b/>
                <w:bCs/>
              </w:rPr>
            </w:pPr>
            <w:r>
              <w:rPr>
                <w:rFonts w:ascii="Calibri" w:eastAsia="Calibri" w:hAnsi="Calibri"/>
                <w:b/>
                <w:bCs/>
              </w:rPr>
              <w:t>Brainstorm in break-out sessions</w:t>
            </w:r>
          </w:p>
          <w:p w14:paraId="0AC084F5" w14:textId="77777777" w:rsidR="00B470B4" w:rsidRDefault="00B470B4" w:rsidP="00B470B4">
            <w:pPr>
              <w:jc w:val="both"/>
              <w:rPr>
                <w:rFonts w:ascii="Calibri" w:eastAsia="Calibri" w:hAnsi="Calibri"/>
                <w:bCs/>
                <w:color w:val="000000"/>
              </w:rPr>
            </w:pPr>
            <w:r>
              <w:rPr>
                <w:rFonts w:ascii="Calibri" w:eastAsia="Calibri" w:hAnsi="Calibri"/>
                <w:bCs/>
                <w:color w:val="000000"/>
              </w:rPr>
              <w:t>Please refer to the attached summaries of the break-out sessions.</w:t>
            </w:r>
          </w:p>
          <w:p w14:paraId="34E1BDCA" w14:textId="77777777" w:rsidR="00B470B4" w:rsidRDefault="00B470B4" w:rsidP="00C81B65">
            <w:pPr>
              <w:jc w:val="both"/>
              <w:rPr>
                <w:rFonts w:ascii="Calibri" w:eastAsia="Calibri" w:hAnsi="Calibri"/>
                <w:b/>
                <w:bCs/>
              </w:rPr>
            </w:pPr>
          </w:p>
          <w:p w14:paraId="04AAE273" w14:textId="16622D54" w:rsidR="00BE2C14" w:rsidRPr="00A608B3" w:rsidRDefault="00BE2C14" w:rsidP="00C81B65">
            <w:pPr>
              <w:jc w:val="both"/>
              <w:rPr>
                <w:rFonts w:ascii="Calibri" w:eastAsia="Calibri" w:hAnsi="Calibri"/>
                <w:b/>
                <w:bCs/>
              </w:rPr>
            </w:pPr>
          </w:p>
        </w:tc>
        <w:tc>
          <w:tcPr>
            <w:tcW w:w="1318" w:type="dxa"/>
          </w:tcPr>
          <w:p w14:paraId="2ABE0B21" w14:textId="77777777" w:rsidR="00A608B3" w:rsidRDefault="00A608B3" w:rsidP="00FB5ED6"/>
        </w:tc>
      </w:tr>
      <w:tr w:rsidR="00FB5ED6" w14:paraId="7E9EC581" w14:textId="77777777" w:rsidTr="00493F43">
        <w:tc>
          <w:tcPr>
            <w:tcW w:w="641" w:type="dxa"/>
          </w:tcPr>
          <w:p w14:paraId="04CE0320" w14:textId="35F8EDDF" w:rsidR="00FB5ED6" w:rsidRPr="00D219DA" w:rsidRDefault="00B470B4" w:rsidP="00FB5ED6">
            <w:pPr>
              <w:rPr>
                <w:b/>
              </w:rPr>
            </w:pPr>
            <w:r>
              <w:rPr>
                <w:b/>
              </w:rPr>
              <w:t>5.</w:t>
            </w:r>
          </w:p>
        </w:tc>
        <w:tc>
          <w:tcPr>
            <w:tcW w:w="7057" w:type="dxa"/>
          </w:tcPr>
          <w:p w14:paraId="6A81014C" w14:textId="77777777" w:rsidR="00F524D8" w:rsidRPr="000632F5" w:rsidRDefault="00B470B4" w:rsidP="00F524D8">
            <w:pPr>
              <w:jc w:val="both"/>
              <w:rPr>
                <w:b/>
                <w:bCs/>
              </w:rPr>
            </w:pPr>
            <w:r w:rsidRPr="000632F5">
              <w:rPr>
                <w:b/>
                <w:bCs/>
              </w:rPr>
              <w:t>Report back finding and reflections on discussions during the break-out sessions</w:t>
            </w:r>
          </w:p>
          <w:p w14:paraId="28A7B7F3" w14:textId="77777777" w:rsidR="00B470B4" w:rsidRDefault="00B470B4" w:rsidP="00F524D8">
            <w:pPr>
              <w:jc w:val="both"/>
            </w:pPr>
          </w:p>
          <w:p w14:paraId="6B9323FB" w14:textId="77777777" w:rsidR="00B470B4" w:rsidRDefault="00B470B4" w:rsidP="00F524D8">
            <w:pPr>
              <w:jc w:val="both"/>
            </w:pPr>
            <w:r>
              <w:t>Each group provided a short summary of the outcomes of their discussions.</w:t>
            </w:r>
          </w:p>
          <w:p w14:paraId="32F9796C" w14:textId="77777777" w:rsidR="00B470B4" w:rsidRDefault="00B470B4" w:rsidP="00F524D8">
            <w:pPr>
              <w:jc w:val="both"/>
            </w:pPr>
          </w:p>
          <w:p w14:paraId="32796611" w14:textId="77777777" w:rsidR="00B470B4" w:rsidRDefault="00B470B4" w:rsidP="00F524D8">
            <w:pPr>
              <w:jc w:val="both"/>
            </w:pPr>
            <w:r>
              <w:t>Bert then provide some reflections and lessons learnt</w:t>
            </w:r>
          </w:p>
          <w:p w14:paraId="0FD6A3C4" w14:textId="77777777" w:rsidR="00B470B4" w:rsidRDefault="00B470B4" w:rsidP="00F524D8">
            <w:pPr>
              <w:jc w:val="both"/>
            </w:pPr>
          </w:p>
          <w:p w14:paraId="3CD2F1F3" w14:textId="77777777" w:rsidR="001135EE" w:rsidRPr="001135EE" w:rsidRDefault="001135EE" w:rsidP="001135EE">
            <w:pPr>
              <w:rPr>
                <w:rFonts w:ascii="Calibri" w:eastAsia="Calibri" w:hAnsi="Calibri" w:cs="Times New Roman"/>
                <w:lang w:val="en-US"/>
              </w:rPr>
            </w:pPr>
            <w:r w:rsidRPr="001135EE">
              <w:rPr>
                <w:rFonts w:ascii="Calibri" w:eastAsia="Calibri" w:hAnsi="Calibri" w:cs="Times New Roman"/>
                <w:lang w:val="en-US"/>
              </w:rPr>
              <w:t>Opportunities &amp; Role of Agencies</w:t>
            </w:r>
          </w:p>
          <w:p w14:paraId="0398CF06" w14:textId="77777777" w:rsidR="001135EE" w:rsidRPr="001135EE" w:rsidRDefault="001135EE" w:rsidP="001135EE">
            <w:pPr>
              <w:rPr>
                <w:rFonts w:ascii="Calibri" w:eastAsia="Calibri" w:hAnsi="Calibri" w:cs="Times New Roman"/>
                <w:lang w:val="en-US"/>
              </w:rPr>
            </w:pPr>
            <w:r w:rsidRPr="001135EE">
              <w:rPr>
                <w:rFonts w:ascii="Calibri" w:eastAsia="Calibri" w:hAnsi="Calibri" w:cs="Times New Roman"/>
                <w:lang w:val="en-US"/>
              </w:rPr>
              <w:t>Observations</w:t>
            </w:r>
          </w:p>
          <w:p w14:paraId="184AC132" w14:textId="77777777" w:rsidR="001135EE" w:rsidRPr="001135EE" w:rsidRDefault="001135EE" w:rsidP="001135EE">
            <w:pPr>
              <w:numPr>
                <w:ilvl w:val="0"/>
                <w:numId w:val="28"/>
              </w:numPr>
              <w:contextualSpacing/>
              <w:rPr>
                <w:rFonts w:ascii="Calibri" w:eastAsia="Calibri" w:hAnsi="Calibri" w:cs="Times New Roman"/>
                <w:lang w:val="en-US"/>
              </w:rPr>
            </w:pPr>
            <w:r w:rsidRPr="001135EE">
              <w:rPr>
                <w:rFonts w:ascii="Calibri" w:eastAsia="Calibri" w:hAnsi="Calibri" w:cs="Times New Roman"/>
                <w:lang w:val="en-US"/>
              </w:rPr>
              <w:t>Key role of agencies to bridge the gaps</w:t>
            </w:r>
          </w:p>
          <w:p w14:paraId="06E24E7E" w14:textId="684DE183" w:rsidR="001135EE" w:rsidRPr="001135EE" w:rsidRDefault="000632F5" w:rsidP="001135EE">
            <w:pPr>
              <w:numPr>
                <w:ilvl w:val="1"/>
                <w:numId w:val="28"/>
              </w:numPr>
              <w:contextualSpacing/>
              <w:rPr>
                <w:rFonts w:ascii="Calibri" w:eastAsia="Calibri" w:hAnsi="Calibri" w:cs="Times New Roman"/>
                <w:lang w:val="en-US"/>
              </w:rPr>
            </w:pPr>
            <w:r>
              <w:rPr>
                <w:rFonts w:ascii="Calibri" w:eastAsia="Calibri" w:hAnsi="Calibri" w:cs="Times New Roman"/>
                <w:lang w:val="en-US"/>
              </w:rPr>
              <w:t>b</w:t>
            </w:r>
            <w:r w:rsidR="001135EE" w:rsidRPr="001135EE">
              <w:rPr>
                <w:rFonts w:ascii="Calibri" w:eastAsia="Calibri" w:hAnsi="Calibri" w:cs="Times New Roman"/>
                <w:lang w:val="en-US"/>
              </w:rPr>
              <w:t>etween individual and collective interests – consequences on how instruments are designed and implemented. Formal like municipalities or energy collectives</w:t>
            </w:r>
            <w:r w:rsidR="001135EE">
              <w:rPr>
                <w:rFonts w:ascii="Calibri" w:eastAsia="Calibri" w:hAnsi="Calibri" w:cs="Times New Roman"/>
                <w:lang w:val="en-US"/>
              </w:rPr>
              <w:t>;</w:t>
            </w:r>
          </w:p>
          <w:p w14:paraId="32E9FB82" w14:textId="0E81E630" w:rsidR="001135EE" w:rsidRPr="001135EE" w:rsidRDefault="000632F5" w:rsidP="001135EE">
            <w:pPr>
              <w:numPr>
                <w:ilvl w:val="1"/>
                <w:numId w:val="28"/>
              </w:numPr>
              <w:contextualSpacing/>
              <w:rPr>
                <w:rFonts w:ascii="Calibri" w:eastAsia="Calibri" w:hAnsi="Calibri" w:cs="Times New Roman"/>
                <w:lang w:val="en-US"/>
              </w:rPr>
            </w:pPr>
            <w:r>
              <w:rPr>
                <w:rFonts w:ascii="Calibri" w:eastAsia="Calibri" w:hAnsi="Calibri" w:cs="Times New Roman"/>
                <w:lang w:val="en-US"/>
              </w:rPr>
              <w:t>i</w:t>
            </w:r>
            <w:r w:rsidR="001135EE" w:rsidRPr="001135EE">
              <w:rPr>
                <w:rFonts w:ascii="Calibri" w:eastAsia="Calibri" w:hAnsi="Calibri" w:cs="Times New Roman"/>
                <w:lang w:val="en-US"/>
              </w:rPr>
              <w:t>ndividuals v companies and market players – how they interact</w:t>
            </w:r>
            <w:r w:rsidR="001135EE">
              <w:rPr>
                <w:rFonts w:ascii="Calibri" w:eastAsia="Calibri" w:hAnsi="Calibri" w:cs="Times New Roman"/>
                <w:lang w:val="en-US"/>
              </w:rPr>
              <w:t>;</w:t>
            </w:r>
          </w:p>
          <w:p w14:paraId="55628BDB" w14:textId="4CED2B92" w:rsidR="001135EE" w:rsidRPr="001135EE" w:rsidRDefault="000632F5" w:rsidP="001135EE">
            <w:pPr>
              <w:numPr>
                <w:ilvl w:val="1"/>
                <w:numId w:val="28"/>
              </w:numPr>
              <w:contextualSpacing/>
              <w:rPr>
                <w:rFonts w:ascii="Calibri" w:eastAsia="Calibri" w:hAnsi="Calibri" w:cs="Times New Roman"/>
                <w:lang w:val="en-US"/>
              </w:rPr>
            </w:pPr>
            <w:r>
              <w:rPr>
                <w:rFonts w:ascii="Calibri" w:eastAsia="Calibri" w:hAnsi="Calibri" w:cs="Times New Roman"/>
                <w:lang w:val="en-US"/>
              </w:rPr>
              <w:t>p</w:t>
            </w:r>
            <w:r w:rsidR="001135EE" w:rsidRPr="001135EE">
              <w:rPr>
                <w:rFonts w:ascii="Calibri" w:eastAsia="Calibri" w:hAnsi="Calibri" w:cs="Times New Roman"/>
                <w:lang w:val="en-US"/>
              </w:rPr>
              <w:t>olicies v drivers</w:t>
            </w:r>
            <w:r w:rsidR="001135EE">
              <w:rPr>
                <w:rFonts w:ascii="Calibri" w:eastAsia="Calibri" w:hAnsi="Calibri" w:cs="Times New Roman"/>
                <w:lang w:val="en-US"/>
              </w:rPr>
              <w:t>;</w:t>
            </w:r>
            <w:r w:rsidR="001135EE" w:rsidRPr="001135EE">
              <w:rPr>
                <w:rFonts w:ascii="Calibri" w:eastAsia="Calibri" w:hAnsi="Calibri" w:cs="Times New Roman"/>
                <w:lang w:val="en-US"/>
              </w:rPr>
              <w:t xml:space="preserve"> </w:t>
            </w:r>
          </w:p>
          <w:p w14:paraId="409C4466" w14:textId="352C7E14" w:rsidR="001135EE" w:rsidRDefault="000632F5" w:rsidP="001135EE">
            <w:pPr>
              <w:numPr>
                <w:ilvl w:val="1"/>
                <w:numId w:val="28"/>
              </w:numPr>
              <w:contextualSpacing/>
              <w:rPr>
                <w:rFonts w:ascii="Calibri" w:eastAsia="Calibri" w:hAnsi="Calibri" w:cs="Times New Roman"/>
                <w:lang w:val="en-US"/>
              </w:rPr>
            </w:pPr>
            <w:r>
              <w:rPr>
                <w:rFonts w:ascii="Calibri" w:eastAsia="Calibri" w:hAnsi="Calibri" w:cs="Times New Roman"/>
                <w:lang w:val="en-US"/>
              </w:rPr>
              <w:t>i</w:t>
            </w:r>
            <w:r w:rsidR="001135EE" w:rsidRPr="001135EE">
              <w:rPr>
                <w:rFonts w:ascii="Calibri" w:eastAsia="Calibri" w:hAnsi="Calibri" w:cs="Times New Roman"/>
                <w:lang w:val="en-US"/>
              </w:rPr>
              <w:t>nteraction between sectors</w:t>
            </w:r>
          </w:p>
          <w:p w14:paraId="74E18BD9" w14:textId="77777777" w:rsidR="001135EE" w:rsidRPr="001135EE" w:rsidRDefault="001135EE" w:rsidP="001135EE">
            <w:pPr>
              <w:ind w:left="1440"/>
              <w:contextualSpacing/>
              <w:rPr>
                <w:rFonts w:ascii="Calibri" w:eastAsia="Calibri" w:hAnsi="Calibri" w:cs="Times New Roman"/>
                <w:lang w:val="en-US"/>
              </w:rPr>
            </w:pPr>
          </w:p>
          <w:p w14:paraId="45F8CFDA" w14:textId="77777777" w:rsidR="001135EE" w:rsidRPr="001135EE" w:rsidRDefault="001135EE" w:rsidP="001135EE">
            <w:pPr>
              <w:numPr>
                <w:ilvl w:val="0"/>
                <w:numId w:val="28"/>
              </w:numPr>
              <w:contextualSpacing/>
              <w:rPr>
                <w:rFonts w:ascii="Calibri" w:eastAsia="Calibri" w:hAnsi="Calibri" w:cs="Times New Roman"/>
                <w:lang w:val="en-US"/>
              </w:rPr>
            </w:pPr>
            <w:r w:rsidRPr="001135EE">
              <w:rPr>
                <w:rFonts w:ascii="Calibri" w:eastAsia="Calibri" w:hAnsi="Calibri" w:cs="Times New Roman"/>
                <w:lang w:val="en-US"/>
              </w:rPr>
              <w:t>How can we do this</w:t>
            </w:r>
          </w:p>
          <w:p w14:paraId="754AAD04" w14:textId="77777777" w:rsidR="001135EE" w:rsidRPr="001135EE" w:rsidRDefault="001135EE" w:rsidP="001135EE">
            <w:pPr>
              <w:numPr>
                <w:ilvl w:val="1"/>
                <w:numId w:val="28"/>
              </w:numPr>
              <w:contextualSpacing/>
              <w:rPr>
                <w:rFonts w:ascii="Calibri" w:eastAsia="Calibri" w:hAnsi="Calibri" w:cs="Times New Roman"/>
                <w:lang w:val="en-US"/>
              </w:rPr>
            </w:pPr>
            <w:r w:rsidRPr="001135EE">
              <w:rPr>
                <w:rFonts w:ascii="Calibri" w:eastAsia="Calibri" w:hAnsi="Calibri" w:cs="Times New Roman"/>
                <w:lang w:val="en-US"/>
              </w:rPr>
              <w:t>Need portfolio of examples what role do energy agencies play? Differs per country</w:t>
            </w:r>
          </w:p>
          <w:p w14:paraId="4CDC75F4" w14:textId="77777777" w:rsidR="001135EE" w:rsidRPr="001135EE" w:rsidRDefault="001135EE" w:rsidP="001135EE">
            <w:pPr>
              <w:numPr>
                <w:ilvl w:val="1"/>
                <w:numId w:val="28"/>
              </w:numPr>
              <w:contextualSpacing/>
              <w:rPr>
                <w:rFonts w:ascii="Calibri" w:eastAsia="Calibri" w:hAnsi="Calibri" w:cs="Times New Roman"/>
                <w:lang w:val="en-US"/>
              </w:rPr>
            </w:pPr>
            <w:r w:rsidRPr="001135EE">
              <w:rPr>
                <w:rFonts w:ascii="Calibri" w:eastAsia="Calibri" w:hAnsi="Calibri" w:cs="Times New Roman"/>
                <w:lang w:val="en-US"/>
              </w:rPr>
              <w:lastRenderedPageBreak/>
              <w:t>Almost all have the three roles on common:</w:t>
            </w:r>
          </w:p>
          <w:p w14:paraId="40A5E317" w14:textId="65C117AF" w:rsidR="001135EE" w:rsidRPr="001135EE" w:rsidRDefault="001135EE" w:rsidP="001135EE">
            <w:pPr>
              <w:numPr>
                <w:ilvl w:val="2"/>
                <w:numId w:val="28"/>
              </w:numPr>
              <w:contextualSpacing/>
              <w:rPr>
                <w:rFonts w:ascii="Calibri" w:eastAsia="Calibri" w:hAnsi="Calibri" w:cs="Times New Roman"/>
                <w:lang w:val="en-US"/>
              </w:rPr>
            </w:pPr>
            <w:r>
              <w:rPr>
                <w:rFonts w:ascii="Calibri" w:eastAsia="Calibri" w:hAnsi="Calibri" w:cs="Times New Roman"/>
                <w:lang w:val="en-US"/>
              </w:rPr>
              <w:t>p</w:t>
            </w:r>
            <w:r w:rsidRPr="001135EE">
              <w:rPr>
                <w:rFonts w:ascii="Calibri" w:eastAsia="Calibri" w:hAnsi="Calibri" w:cs="Times New Roman"/>
                <w:lang w:val="en-US"/>
              </w:rPr>
              <w:t xml:space="preserve">rovide </w:t>
            </w:r>
            <w:r w:rsidR="000632F5">
              <w:rPr>
                <w:rFonts w:ascii="Calibri" w:eastAsia="Calibri" w:hAnsi="Calibri" w:cs="Times New Roman"/>
                <w:lang w:val="en-US"/>
              </w:rPr>
              <w:t>f</w:t>
            </w:r>
            <w:r w:rsidRPr="001135EE">
              <w:rPr>
                <w:rFonts w:ascii="Calibri" w:eastAsia="Calibri" w:hAnsi="Calibri" w:cs="Times New Roman"/>
                <w:lang w:val="en-US"/>
              </w:rPr>
              <w:t>inancial advice and subsidies;</w:t>
            </w:r>
          </w:p>
          <w:p w14:paraId="3705ADD7" w14:textId="64E1A94C" w:rsidR="001135EE" w:rsidRPr="001135EE" w:rsidRDefault="001135EE" w:rsidP="001135EE">
            <w:pPr>
              <w:numPr>
                <w:ilvl w:val="2"/>
                <w:numId w:val="28"/>
              </w:numPr>
              <w:contextualSpacing/>
              <w:rPr>
                <w:rFonts w:ascii="Calibri" w:eastAsia="Calibri" w:hAnsi="Calibri" w:cs="Times New Roman"/>
                <w:lang w:val="en-US"/>
              </w:rPr>
            </w:pPr>
            <w:r>
              <w:rPr>
                <w:rFonts w:ascii="Calibri" w:eastAsia="Calibri" w:hAnsi="Calibri" w:cs="Times New Roman"/>
                <w:lang w:val="en-US"/>
              </w:rPr>
              <w:t>c</w:t>
            </w:r>
            <w:r w:rsidRPr="001135EE">
              <w:rPr>
                <w:rFonts w:ascii="Calibri" w:eastAsia="Calibri" w:hAnsi="Calibri" w:cs="Times New Roman"/>
                <w:lang w:val="en-US"/>
              </w:rPr>
              <w:t>onvening power;</w:t>
            </w:r>
          </w:p>
          <w:p w14:paraId="135C065C" w14:textId="3DC60878" w:rsidR="00B470B4" w:rsidRDefault="001135EE" w:rsidP="00E22F2B">
            <w:pPr>
              <w:numPr>
                <w:ilvl w:val="2"/>
                <w:numId w:val="28"/>
              </w:numPr>
              <w:contextualSpacing/>
              <w:jc w:val="both"/>
            </w:pPr>
            <w:r w:rsidRPr="000632F5">
              <w:rPr>
                <w:rFonts w:ascii="Calibri" w:eastAsia="Calibri" w:hAnsi="Calibri" w:cs="Times New Roman"/>
                <w:lang w:val="en-US"/>
              </w:rPr>
              <w:t>advisory role towards ministries and regulators.</w:t>
            </w:r>
          </w:p>
          <w:p w14:paraId="6E5A95F3" w14:textId="7170E708" w:rsidR="00B470B4" w:rsidRDefault="00B470B4" w:rsidP="00F524D8">
            <w:pPr>
              <w:jc w:val="both"/>
            </w:pPr>
          </w:p>
        </w:tc>
        <w:tc>
          <w:tcPr>
            <w:tcW w:w="1318" w:type="dxa"/>
          </w:tcPr>
          <w:p w14:paraId="24377561" w14:textId="1893D639" w:rsidR="00A608B3" w:rsidRDefault="00A608B3" w:rsidP="00FB5ED6"/>
        </w:tc>
      </w:tr>
      <w:tr w:rsidR="00FB5ED6" w14:paraId="26862442" w14:textId="77777777" w:rsidTr="00493F43">
        <w:tc>
          <w:tcPr>
            <w:tcW w:w="641" w:type="dxa"/>
          </w:tcPr>
          <w:p w14:paraId="2C0BD9B4" w14:textId="5DC377F7" w:rsidR="00FB5ED6" w:rsidRPr="00662F2F" w:rsidRDefault="00E23098" w:rsidP="00FB5ED6">
            <w:pPr>
              <w:rPr>
                <w:b/>
              </w:rPr>
            </w:pPr>
            <w:r>
              <w:rPr>
                <w:b/>
              </w:rPr>
              <w:t>6.</w:t>
            </w:r>
          </w:p>
        </w:tc>
        <w:tc>
          <w:tcPr>
            <w:tcW w:w="7057" w:type="dxa"/>
          </w:tcPr>
          <w:p w14:paraId="3D363000" w14:textId="77777777" w:rsidR="005B3AC2" w:rsidRPr="00AA328A" w:rsidRDefault="000D2830" w:rsidP="00F524D8">
            <w:pPr>
              <w:jc w:val="both"/>
              <w:rPr>
                <w:b/>
              </w:rPr>
            </w:pPr>
            <w:r w:rsidRPr="00AA328A">
              <w:rPr>
                <w:b/>
              </w:rPr>
              <w:t xml:space="preserve">Round Table </w:t>
            </w:r>
            <w:proofErr w:type="spellStart"/>
            <w:r w:rsidRPr="00AA328A">
              <w:rPr>
                <w:b/>
              </w:rPr>
              <w:t>EnR</w:t>
            </w:r>
            <w:proofErr w:type="spellEnd"/>
            <w:r w:rsidRPr="00AA328A">
              <w:rPr>
                <w:b/>
              </w:rPr>
              <w:t xml:space="preserve"> &amp; EC on Smart Integration, Renovation Wave and Just Transition</w:t>
            </w:r>
          </w:p>
          <w:p w14:paraId="680FF5FD" w14:textId="7782F454" w:rsidR="000D2830" w:rsidRDefault="000D2830" w:rsidP="00F524D8">
            <w:pPr>
              <w:jc w:val="both"/>
              <w:rPr>
                <w:bCs/>
              </w:rPr>
            </w:pPr>
            <w:r>
              <w:rPr>
                <w:bCs/>
              </w:rPr>
              <w:t>Rebecca referred to the draft outline for the Round Table circulated prior to the meeting and summarised the discussion she had</w:t>
            </w:r>
            <w:r w:rsidR="00AA328A">
              <w:rPr>
                <w:bCs/>
              </w:rPr>
              <w:t xml:space="preserve"> had</w:t>
            </w:r>
            <w:r>
              <w:rPr>
                <w:bCs/>
              </w:rPr>
              <w:t xml:space="preserve"> with </w:t>
            </w:r>
            <w:proofErr w:type="spellStart"/>
            <w:r>
              <w:rPr>
                <w:bCs/>
              </w:rPr>
              <w:t>Karlis</w:t>
            </w:r>
            <w:proofErr w:type="spellEnd"/>
            <w:r>
              <w:rPr>
                <w:bCs/>
              </w:rPr>
              <w:t xml:space="preserve"> Goldstein regarding the event.</w:t>
            </w:r>
          </w:p>
          <w:p w14:paraId="4BDC2290" w14:textId="77777777" w:rsidR="00AA328A" w:rsidRDefault="00AA328A" w:rsidP="00F524D8">
            <w:pPr>
              <w:jc w:val="both"/>
              <w:rPr>
                <w:bCs/>
              </w:rPr>
            </w:pPr>
          </w:p>
          <w:p w14:paraId="0094B7EB" w14:textId="75E4213D" w:rsidR="000D2830" w:rsidRDefault="000D2830" w:rsidP="00F524D8">
            <w:pPr>
              <w:jc w:val="both"/>
              <w:rPr>
                <w:bCs/>
              </w:rPr>
            </w:pPr>
            <w:r>
              <w:rPr>
                <w:bCs/>
              </w:rPr>
              <w:t xml:space="preserve">Date: </w:t>
            </w:r>
            <w:r w:rsidRPr="00AA328A">
              <w:rPr>
                <w:bCs/>
                <w:highlight w:val="yellow"/>
              </w:rPr>
              <w:t>25</w:t>
            </w:r>
            <w:r w:rsidRPr="00AA328A">
              <w:rPr>
                <w:bCs/>
                <w:highlight w:val="yellow"/>
                <w:vertAlign w:val="superscript"/>
              </w:rPr>
              <w:t>th</w:t>
            </w:r>
            <w:r w:rsidRPr="00AA328A">
              <w:rPr>
                <w:bCs/>
                <w:highlight w:val="yellow"/>
              </w:rPr>
              <w:t xml:space="preserve"> November 10.30 – 12.00</w:t>
            </w:r>
          </w:p>
          <w:p w14:paraId="6374AD61" w14:textId="77777777" w:rsidR="000D2830" w:rsidRDefault="000D2830" w:rsidP="00F524D8">
            <w:pPr>
              <w:jc w:val="both"/>
              <w:rPr>
                <w:bCs/>
              </w:rPr>
            </w:pPr>
          </w:p>
          <w:p w14:paraId="2FF9825B" w14:textId="5B12BFDA" w:rsidR="000D2830" w:rsidRDefault="000D2830" w:rsidP="00F524D8">
            <w:pPr>
              <w:jc w:val="both"/>
              <w:rPr>
                <w:bCs/>
              </w:rPr>
            </w:pPr>
            <w:r>
              <w:rPr>
                <w:bCs/>
              </w:rPr>
              <w:t>A discussion took place on whether to invite other DGs. It was agreed that we should not invite too many DGs</w:t>
            </w:r>
            <w:r w:rsidR="00AA328A">
              <w:rPr>
                <w:bCs/>
              </w:rPr>
              <w:t xml:space="preserve">, we should not have too broader reach. </w:t>
            </w:r>
            <w:r>
              <w:rPr>
                <w:bCs/>
              </w:rPr>
              <w:t xml:space="preserve"> Following the Task Force meeting on Smart Integration</w:t>
            </w:r>
            <w:r w:rsidR="000632F5">
              <w:rPr>
                <w:bCs/>
              </w:rPr>
              <w:t>,</w:t>
            </w:r>
            <w:r>
              <w:rPr>
                <w:bCs/>
              </w:rPr>
              <w:t xml:space="preserve"> Roberta had already suggested that we contact DG REFORM. </w:t>
            </w:r>
            <w:proofErr w:type="spellStart"/>
            <w:r>
              <w:rPr>
                <w:bCs/>
              </w:rPr>
              <w:t>Karlis</w:t>
            </w:r>
            <w:proofErr w:type="spellEnd"/>
            <w:r>
              <w:rPr>
                <w:bCs/>
              </w:rPr>
              <w:t xml:space="preserve"> already provide</w:t>
            </w:r>
            <w:r w:rsidR="000632F5">
              <w:rPr>
                <w:bCs/>
              </w:rPr>
              <w:t>d</w:t>
            </w:r>
            <w:r>
              <w:rPr>
                <w:bCs/>
              </w:rPr>
              <w:t xml:space="preserve"> a contact and invited DG REFORM to the event. Rebecca to plan in an introductory meeting with </w:t>
            </w:r>
            <w:proofErr w:type="spellStart"/>
            <w:r>
              <w:rPr>
                <w:bCs/>
              </w:rPr>
              <w:t>Kaspar</w:t>
            </w:r>
            <w:proofErr w:type="spellEnd"/>
            <w:r>
              <w:rPr>
                <w:bCs/>
              </w:rPr>
              <w:t xml:space="preserve"> Richter.</w:t>
            </w:r>
          </w:p>
          <w:p w14:paraId="3D76C57D" w14:textId="77777777" w:rsidR="00AA328A" w:rsidRDefault="00AA328A" w:rsidP="00F524D8">
            <w:pPr>
              <w:jc w:val="both"/>
              <w:rPr>
                <w:bCs/>
              </w:rPr>
            </w:pPr>
          </w:p>
          <w:p w14:paraId="4CB178F5" w14:textId="19FBA5CF" w:rsidR="00AA328A" w:rsidRDefault="00AA328A" w:rsidP="00F524D8">
            <w:pPr>
              <w:jc w:val="both"/>
              <w:rPr>
                <w:bCs/>
              </w:rPr>
            </w:pPr>
            <w:r>
              <w:rPr>
                <w:bCs/>
              </w:rPr>
              <w:t xml:space="preserve">It was agreed that Cohesion funds are important in support and finance for achieving the goals of the Green Deal. </w:t>
            </w:r>
            <w:proofErr w:type="spellStart"/>
            <w:r>
              <w:rPr>
                <w:bCs/>
              </w:rPr>
              <w:t>Karlis</w:t>
            </w:r>
            <w:proofErr w:type="spellEnd"/>
            <w:r>
              <w:rPr>
                <w:bCs/>
              </w:rPr>
              <w:t xml:space="preserve"> had suggested that we contact </w:t>
            </w:r>
            <w:proofErr w:type="spellStart"/>
            <w:r>
              <w:rPr>
                <w:bCs/>
              </w:rPr>
              <w:t>Wioletta</w:t>
            </w:r>
            <w:proofErr w:type="spellEnd"/>
            <w:r>
              <w:rPr>
                <w:bCs/>
              </w:rPr>
              <w:t xml:space="preserve"> </w:t>
            </w:r>
            <w:proofErr w:type="spellStart"/>
            <w:r>
              <w:rPr>
                <w:bCs/>
              </w:rPr>
              <w:t>Dunin</w:t>
            </w:r>
            <w:proofErr w:type="spellEnd"/>
            <w:r>
              <w:rPr>
                <w:bCs/>
              </w:rPr>
              <w:t xml:space="preserve"> (Cabinet </w:t>
            </w:r>
            <w:proofErr w:type="spellStart"/>
            <w:r>
              <w:rPr>
                <w:bCs/>
              </w:rPr>
              <w:t>Fe</w:t>
            </w:r>
            <w:r w:rsidR="00B338D8">
              <w:rPr>
                <w:bCs/>
              </w:rPr>
              <w:t>reira</w:t>
            </w:r>
            <w:proofErr w:type="spellEnd"/>
            <w:r w:rsidR="00B338D8">
              <w:rPr>
                <w:bCs/>
              </w:rPr>
              <w:t>) who is an expert on Cohesion and ha</w:t>
            </w:r>
            <w:r w:rsidR="000632F5">
              <w:rPr>
                <w:bCs/>
              </w:rPr>
              <w:t>s</w:t>
            </w:r>
            <w:r w:rsidR="00B338D8">
              <w:rPr>
                <w:bCs/>
              </w:rPr>
              <w:t xml:space="preserve"> an excellent knowledge on energy.</w:t>
            </w:r>
          </w:p>
          <w:p w14:paraId="59C37B5E" w14:textId="77777777" w:rsidR="00AA328A" w:rsidRDefault="00AA328A" w:rsidP="00F524D8">
            <w:pPr>
              <w:jc w:val="both"/>
              <w:rPr>
                <w:bCs/>
              </w:rPr>
            </w:pPr>
          </w:p>
          <w:p w14:paraId="536D74ED" w14:textId="20297B59" w:rsidR="00AA328A" w:rsidRDefault="00AA328A" w:rsidP="00F524D8">
            <w:pPr>
              <w:jc w:val="both"/>
              <w:rPr>
                <w:bCs/>
              </w:rPr>
            </w:pPr>
            <w:r>
              <w:rPr>
                <w:bCs/>
              </w:rPr>
              <w:t>Virginia offered to look into a contact for DG ENV.</w:t>
            </w:r>
          </w:p>
          <w:p w14:paraId="726DBCA0" w14:textId="76EA4846" w:rsidR="001C5B69" w:rsidRDefault="001C5B69" w:rsidP="00F524D8">
            <w:pPr>
              <w:jc w:val="both"/>
              <w:rPr>
                <w:bCs/>
              </w:rPr>
            </w:pPr>
          </w:p>
          <w:p w14:paraId="14E392E7" w14:textId="00B4750A" w:rsidR="001C5B69" w:rsidRDefault="001C5B69" w:rsidP="00F524D8">
            <w:pPr>
              <w:jc w:val="both"/>
              <w:rPr>
                <w:bCs/>
              </w:rPr>
            </w:pPr>
            <w:r w:rsidRPr="000632F5">
              <w:rPr>
                <w:bCs/>
                <w:highlight w:val="yellow"/>
              </w:rPr>
              <w:t>16</w:t>
            </w:r>
            <w:r w:rsidRPr="000632F5">
              <w:rPr>
                <w:bCs/>
                <w:highlight w:val="yellow"/>
                <w:vertAlign w:val="superscript"/>
              </w:rPr>
              <w:t>th</w:t>
            </w:r>
            <w:r w:rsidRPr="000632F5">
              <w:rPr>
                <w:bCs/>
                <w:highlight w:val="yellow"/>
              </w:rPr>
              <w:t xml:space="preserve"> November Troika plus meeting</w:t>
            </w:r>
            <w:r w:rsidR="000632F5">
              <w:rPr>
                <w:bCs/>
              </w:rPr>
              <w:t xml:space="preserve"> 10.30 – 12.00 (CET)</w:t>
            </w:r>
            <w:r>
              <w:rPr>
                <w:bCs/>
              </w:rPr>
              <w:t xml:space="preserve"> to prepare the Round Table in more detail.</w:t>
            </w:r>
          </w:p>
          <w:p w14:paraId="2A8C73D5" w14:textId="694481BA" w:rsidR="001C5B69" w:rsidRDefault="001C5B69" w:rsidP="00F524D8">
            <w:pPr>
              <w:jc w:val="both"/>
              <w:rPr>
                <w:bCs/>
              </w:rPr>
            </w:pPr>
          </w:p>
          <w:p w14:paraId="0431A420" w14:textId="5F0CC628" w:rsidR="001C5B69" w:rsidRPr="00961A98" w:rsidRDefault="001C5B69" w:rsidP="00F524D8">
            <w:pPr>
              <w:jc w:val="both"/>
              <w:rPr>
                <w:b/>
              </w:rPr>
            </w:pPr>
            <w:r w:rsidRPr="00961A98">
              <w:rPr>
                <w:b/>
              </w:rPr>
              <w:t>European Investment Bank (EIB)</w:t>
            </w:r>
          </w:p>
          <w:p w14:paraId="634D25F5" w14:textId="1C789531" w:rsidR="001C5B69" w:rsidRDefault="00961A98" w:rsidP="00F524D8">
            <w:pPr>
              <w:jc w:val="both"/>
              <w:rPr>
                <w:bCs/>
              </w:rPr>
            </w:pPr>
            <w:proofErr w:type="spellStart"/>
            <w:r>
              <w:rPr>
                <w:bCs/>
              </w:rPr>
              <w:t>Karlis</w:t>
            </w:r>
            <w:proofErr w:type="spellEnd"/>
            <w:r>
              <w:rPr>
                <w:bCs/>
              </w:rPr>
              <w:t xml:space="preserve"> put us in contact with the EIB with Ralf Goldman.</w:t>
            </w:r>
          </w:p>
          <w:p w14:paraId="59002EAC" w14:textId="2AC3BDF7" w:rsidR="00961A98" w:rsidRDefault="00961A98" w:rsidP="00F524D8">
            <w:pPr>
              <w:jc w:val="both"/>
              <w:rPr>
                <w:bCs/>
              </w:rPr>
            </w:pPr>
            <w:r>
              <w:rPr>
                <w:bCs/>
              </w:rPr>
              <w:t xml:space="preserve">Rebecca had an introductory meeting with Dinis Rodrigues who knows many </w:t>
            </w:r>
            <w:proofErr w:type="spellStart"/>
            <w:r>
              <w:rPr>
                <w:bCs/>
              </w:rPr>
              <w:t>EnR</w:t>
            </w:r>
            <w:proofErr w:type="spellEnd"/>
            <w:r>
              <w:rPr>
                <w:bCs/>
              </w:rPr>
              <w:t xml:space="preserve"> members. Rebecca shared the Infographic and spreadsheet containing a selection of best practice examples and explained briefly abou</w:t>
            </w:r>
            <w:r w:rsidR="00377486">
              <w:rPr>
                <w:bCs/>
              </w:rPr>
              <w:t>t</w:t>
            </w:r>
            <w:r>
              <w:rPr>
                <w:bCs/>
              </w:rPr>
              <w:t xml:space="preserve"> the Round</w:t>
            </w:r>
            <w:r w:rsidR="00377486">
              <w:rPr>
                <w:bCs/>
              </w:rPr>
              <w:t xml:space="preserve"> </w:t>
            </w:r>
            <w:r>
              <w:rPr>
                <w:bCs/>
              </w:rPr>
              <w:t xml:space="preserve">Table. </w:t>
            </w:r>
          </w:p>
          <w:p w14:paraId="325B7BEE" w14:textId="280DE3B9" w:rsidR="00377486" w:rsidRDefault="00377486" w:rsidP="00F524D8">
            <w:pPr>
              <w:jc w:val="both"/>
              <w:rPr>
                <w:bCs/>
              </w:rPr>
            </w:pPr>
            <w:r>
              <w:rPr>
                <w:bCs/>
              </w:rPr>
              <w:t>Ralf and Dinis have agreed to participate in the Round Table.</w:t>
            </w:r>
          </w:p>
          <w:p w14:paraId="37E60780" w14:textId="2076424D" w:rsidR="00377486" w:rsidRDefault="00377486" w:rsidP="00F524D8">
            <w:pPr>
              <w:jc w:val="both"/>
              <w:rPr>
                <w:bCs/>
              </w:rPr>
            </w:pPr>
            <w:r>
              <w:rPr>
                <w:bCs/>
              </w:rPr>
              <w:t>We will also have an extra meeting between the Troika plus and the EIB immediately preceding the Round Table at 9.30 – 10.30 (CET) on 25</w:t>
            </w:r>
            <w:r w:rsidRPr="00377486">
              <w:rPr>
                <w:bCs/>
                <w:vertAlign w:val="superscript"/>
              </w:rPr>
              <w:t>th</w:t>
            </w:r>
            <w:r>
              <w:rPr>
                <w:bCs/>
              </w:rPr>
              <w:t xml:space="preserve"> November.</w:t>
            </w:r>
          </w:p>
          <w:p w14:paraId="5DABA156" w14:textId="7E606772" w:rsidR="00AA328A" w:rsidRPr="005B3AC2" w:rsidRDefault="00AA328A" w:rsidP="00F524D8">
            <w:pPr>
              <w:jc w:val="both"/>
              <w:rPr>
                <w:bCs/>
              </w:rPr>
            </w:pPr>
          </w:p>
        </w:tc>
        <w:tc>
          <w:tcPr>
            <w:tcW w:w="1318" w:type="dxa"/>
          </w:tcPr>
          <w:p w14:paraId="76125115" w14:textId="77777777" w:rsidR="004E73AD" w:rsidRDefault="000D2830" w:rsidP="00FB5ED6">
            <w:r>
              <w:t>Rebecca</w:t>
            </w:r>
          </w:p>
          <w:p w14:paraId="7F68FF1B" w14:textId="77777777" w:rsidR="001C5B69" w:rsidRDefault="001C5B69" w:rsidP="00FB5ED6"/>
          <w:p w14:paraId="43E85839" w14:textId="77777777" w:rsidR="001C5B69" w:rsidRDefault="001C5B69" w:rsidP="00FB5ED6"/>
          <w:p w14:paraId="20DF3BA3" w14:textId="77777777" w:rsidR="001C5B69" w:rsidRDefault="001C5B69" w:rsidP="00FB5ED6"/>
          <w:p w14:paraId="2079E578" w14:textId="77777777" w:rsidR="001C5B69" w:rsidRDefault="001C5B69" w:rsidP="00FB5ED6"/>
          <w:p w14:paraId="60C32CDC" w14:textId="77777777" w:rsidR="001C5B69" w:rsidRDefault="001C5B69" w:rsidP="00FB5ED6"/>
          <w:p w14:paraId="2CA5827B" w14:textId="77777777" w:rsidR="001C5B69" w:rsidRDefault="001C5B69" w:rsidP="00FB5ED6"/>
          <w:p w14:paraId="52191A08" w14:textId="77777777" w:rsidR="001C5B69" w:rsidRDefault="001C5B69" w:rsidP="00FB5ED6"/>
          <w:p w14:paraId="685DBDC8" w14:textId="77777777" w:rsidR="001C5B69" w:rsidRDefault="001C5B69" w:rsidP="00FB5ED6"/>
          <w:p w14:paraId="0149A2CA" w14:textId="77777777" w:rsidR="001C5B69" w:rsidRDefault="001C5B69" w:rsidP="00FB5ED6"/>
          <w:p w14:paraId="1A59F8B3" w14:textId="77777777" w:rsidR="001C5B69" w:rsidRDefault="001C5B69" w:rsidP="00FB5ED6"/>
          <w:p w14:paraId="7AC98937" w14:textId="77777777" w:rsidR="001C5B69" w:rsidRDefault="001C5B69" w:rsidP="00FB5ED6"/>
          <w:p w14:paraId="0DB33DEE" w14:textId="77777777" w:rsidR="001C5B69" w:rsidRDefault="001C5B69" w:rsidP="00FB5ED6">
            <w:r>
              <w:t>Rebecca</w:t>
            </w:r>
          </w:p>
          <w:p w14:paraId="44CCDA68" w14:textId="77777777" w:rsidR="001C5B69" w:rsidRDefault="001C5B69" w:rsidP="00FB5ED6"/>
          <w:p w14:paraId="16C74AE6" w14:textId="77777777" w:rsidR="001C5B69" w:rsidRDefault="001C5B69" w:rsidP="00FB5ED6"/>
          <w:p w14:paraId="3831B79D" w14:textId="77777777" w:rsidR="001C5B69" w:rsidRDefault="001C5B69" w:rsidP="00FB5ED6"/>
          <w:p w14:paraId="3802C67B" w14:textId="77777777" w:rsidR="001C5B69" w:rsidRDefault="001C5B69" w:rsidP="00FB5ED6"/>
          <w:p w14:paraId="5A5006F0" w14:textId="77777777" w:rsidR="001C5B69" w:rsidRDefault="001C5B69" w:rsidP="00FB5ED6"/>
          <w:p w14:paraId="32DBB82A" w14:textId="77777777" w:rsidR="001C5B69" w:rsidRDefault="001C5B69" w:rsidP="00FB5ED6"/>
          <w:p w14:paraId="32D09CEE" w14:textId="77777777" w:rsidR="001C5B69" w:rsidRDefault="001C5B69" w:rsidP="00FB5ED6"/>
          <w:p w14:paraId="1C593D02" w14:textId="5C7BA824" w:rsidR="001C5B69" w:rsidRDefault="001C5B69" w:rsidP="00FB5ED6">
            <w:r>
              <w:t>Virginia</w:t>
            </w:r>
          </w:p>
        </w:tc>
      </w:tr>
      <w:tr w:rsidR="00A608B3" w14:paraId="142027D2" w14:textId="77777777" w:rsidTr="00493F43">
        <w:tc>
          <w:tcPr>
            <w:tcW w:w="641" w:type="dxa"/>
          </w:tcPr>
          <w:p w14:paraId="15F3DE65" w14:textId="6A756A80" w:rsidR="00A608B3" w:rsidRPr="00662F2F" w:rsidRDefault="000039C1" w:rsidP="00FB5ED6">
            <w:pPr>
              <w:rPr>
                <w:b/>
              </w:rPr>
            </w:pPr>
            <w:r>
              <w:rPr>
                <w:b/>
              </w:rPr>
              <w:t>7</w:t>
            </w:r>
          </w:p>
        </w:tc>
        <w:tc>
          <w:tcPr>
            <w:tcW w:w="7057" w:type="dxa"/>
          </w:tcPr>
          <w:p w14:paraId="00AA7805" w14:textId="77777777" w:rsidR="005B3AC2" w:rsidRPr="000039C1" w:rsidRDefault="000039C1" w:rsidP="000039C1">
            <w:pPr>
              <w:textAlignment w:val="center"/>
              <w:rPr>
                <w:rFonts w:ascii="Calibri" w:eastAsia="Calibri" w:hAnsi="Calibri"/>
                <w:b/>
                <w:bCs/>
              </w:rPr>
            </w:pPr>
            <w:r w:rsidRPr="000039C1">
              <w:rPr>
                <w:rFonts w:ascii="Calibri" w:eastAsia="Calibri" w:hAnsi="Calibri"/>
                <w:b/>
                <w:bCs/>
              </w:rPr>
              <w:t>Wrap-up and Closing</w:t>
            </w:r>
          </w:p>
          <w:p w14:paraId="58B9142F" w14:textId="62AAB40B" w:rsidR="000039C1" w:rsidRDefault="000039C1" w:rsidP="000039C1">
            <w:pPr>
              <w:textAlignment w:val="center"/>
              <w:rPr>
                <w:rFonts w:ascii="Calibri" w:eastAsia="Calibri" w:hAnsi="Calibri"/>
              </w:rPr>
            </w:pPr>
            <w:r>
              <w:rPr>
                <w:rFonts w:ascii="Calibri" w:eastAsia="Calibri" w:hAnsi="Calibri"/>
              </w:rPr>
              <w:t>Barto thanked all participants for their input into the inspiring discussions held. He hopes to be able to hand over the hammer to Philippe in person on February.</w:t>
            </w:r>
          </w:p>
          <w:p w14:paraId="1DD3A087" w14:textId="77777777" w:rsidR="000039C1" w:rsidRDefault="000039C1" w:rsidP="000039C1">
            <w:pPr>
              <w:textAlignment w:val="center"/>
              <w:rPr>
                <w:rFonts w:ascii="Calibri" w:eastAsia="Calibri" w:hAnsi="Calibri"/>
              </w:rPr>
            </w:pPr>
          </w:p>
          <w:p w14:paraId="46F6C288" w14:textId="0077B786" w:rsidR="000039C1" w:rsidRPr="000039C1" w:rsidRDefault="000039C1" w:rsidP="000039C1">
            <w:pPr>
              <w:textAlignment w:val="center"/>
              <w:rPr>
                <w:rFonts w:ascii="Calibri" w:eastAsia="Calibri" w:hAnsi="Calibri"/>
                <w:b/>
                <w:bCs/>
              </w:rPr>
            </w:pPr>
            <w:r w:rsidRPr="000039C1">
              <w:rPr>
                <w:rFonts w:ascii="Calibri" w:eastAsia="Calibri" w:hAnsi="Calibri"/>
                <w:b/>
                <w:bCs/>
              </w:rPr>
              <w:t>Confirmation of date of the Full meeting</w:t>
            </w:r>
          </w:p>
          <w:p w14:paraId="72315725" w14:textId="77777777" w:rsidR="000039C1" w:rsidRDefault="000039C1" w:rsidP="000039C1">
            <w:pPr>
              <w:textAlignment w:val="center"/>
              <w:rPr>
                <w:rFonts w:ascii="Calibri" w:eastAsia="Calibri" w:hAnsi="Calibri"/>
              </w:rPr>
            </w:pPr>
            <w:r>
              <w:rPr>
                <w:rFonts w:ascii="Calibri" w:eastAsia="Calibri" w:hAnsi="Calibri"/>
              </w:rPr>
              <w:t>17</w:t>
            </w:r>
            <w:r w:rsidRPr="000039C1">
              <w:rPr>
                <w:rFonts w:ascii="Calibri" w:eastAsia="Calibri" w:hAnsi="Calibri"/>
                <w:vertAlign w:val="superscript"/>
              </w:rPr>
              <w:t>th</w:t>
            </w:r>
            <w:r>
              <w:rPr>
                <w:rFonts w:ascii="Calibri" w:eastAsia="Calibri" w:hAnsi="Calibri"/>
              </w:rPr>
              <w:t xml:space="preserve"> &amp; 18</w:t>
            </w:r>
            <w:r w:rsidRPr="000039C1">
              <w:rPr>
                <w:rFonts w:ascii="Calibri" w:eastAsia="Calibri" w:hAnsi="Calibri"/>
                <w:vertAlign w:val="superscript"/>
              </w:rPr>
              <w:t>th</w:t>
            </w:r>
            <w:r>
              <w:rPr>
                <w:rFonts w:ascii="Calibri" w:eastAsia="Calibri" w:hAnsi="Calibri"/>
              </w:rPr>
              <w:t xml:space="preserve"> February either in the Netherlands or online.</w:t>
            </w:r>
          </w:p>
          <w:p w14:paraId="47A791F9" w14:textId="18E05BE0" w:rsidR="000039C1" w:rsidRPr="000039C1" w:rsidRDefault="000039C1" w:rsidP="000039C1">
            <w:pPr>
              <w:textAlignment w:val="center"/>
              <w:rPr>
                <w:rFonts w:ascii="Calibri" w:eastAsia="Calibri" w:hAnsi="Calibri"/>
              </w:rPr>
            </w:pPr>
          </w:p>
        </w:tc>
        <w:tc>
          <w:tcPr>
            <w:tcW w:w="1318" w:type="dxa"/>
          </w:tcPr>
          <w:p w14:paraId="0297C9AA" w14:textId="575A1AB3" w:rsidR="000F319E" w:rsidRDefault="000039C1" w:rsidP="00FB5ED6">
            <w:r>
              <w:t>Barto</w:t>
            </w:r>
          </w:p>
        </w:tc>
      </w:tr>
    </w:tbl>
    <w:p w14:paraId="67097604" w14:textId="0B8521EC" w:rsidR="00FB5ED6" w:rsidRDefault="00FB5ED6"/>
    <w:sectPr w:rsidR="00FB5E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D232" w14:textId="77777777" w:rsidR="00E22F2B" w:rsidRDefault="00E22F2B" w:rsidP="000039C1">
      <w:pPr>
        <w:spacing w:after="0" w:line="240" w:lineRule="auto"/>
      </w:pPr>
      <w:r>
        <w:separator/>
      </w:r>
    </w:p>
  </w:endnote>
  <w:endnote w:type="continuationSeparator" w:id="0">
    <w:p w14:paraId="6C58CE06" w14:textId="77777777" w:rsidR="00E22F2B" w:rsidRDefault="00E22F2B" w:rsidP="0000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786849"/>
      <w:docPartObj>
        <w:docPartGallery w:val="Page Numbers (Bottom of Page)"/>
        <w:docPartUnique/>
      </w:docPartObj>
    </w:sdtPr>
    <w:sdtEndPr/>
    <w:sdtContent>
      <w:p w14:paraId="29115868" w14:textId="5DB7BC67" w:rsidR="00E22F2B" w:rsidRDefault="00E22F2B">
        <w:pPr>
          <w:pStyle w:val="Voettekst"/>
          <w:jc w:val="right"/>
        </w:pPr>
        <w:r>
          <w:fldChar w:fldCharType="begin"/>
        </w:r>
        <w:r>
          <w:instrText>PAGE   \* MERGEFORMAT</w:instrText>
        </w:r>
        <w:r>
          <w:fldChar w:fldCharType="separate"/>
        </w:r>
        <w:r>
          <w:rPr>
            <w:lang w:val="nl-NL"/>
          </w:rPr>
          <w:t>2</w:t>
        </w:r>
        <w:r>
          <w:fldChar w:fldCharType="end"/>
        </w:r>
      </w:p>
    </w:sdtContent>
  </w:sdt>
  <w:p w14:paraId="2C38DD61" w14:textId="77777777" w:rsidR="00E22F2B" w:rsidRDefault="00E22F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B385" w14:textId="77777777" w:rsidR="00E22F2B" w:rsidRDefault="00E22F2B" w:rsidP="000039C1">
      <w:pPr>
        <w:spacing w:after="0" w:line="240" w:lineRule="auto"/>
      </w:pPr>
      <w:r>
        <w:separator/>
      </w:r>
    </w:p>
  </w:footnote>
  <w:footnote w:type="continuationSeparator" w:id="0">
    <w:p w14:paraId="53A4F589" w14:textId="77777777" w:rsidR="00E22F2B" w:rsidRDefault="00E22F2B" w:rsidP="00003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52E"/>
    <w:multiLevelType w:val="multilevel"/>
    <w:tmpl w:val="6FD004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C2370"/>
    <w:multiLevelType w:val="multilevel"/>
    <w:tmpl w:val="5BF4F8B2"/>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 w15:restartNumberingAfterBreak="0">
    <w:nsid w:val="0CD86C43"/>
    <w:multiLevelType w:val="multilevel"/>
    <w:tmpl w:val="3D00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27AAF"/>
    <w:multiLevelType w:val="multilevel"/>
    <w:tmpl w:val="A64A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62F48"/>
    <w:multiLevelType w:val="multilevel"/>
    <w:tmpl w:val="17D8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E514C"/>
    <w:multiLevelType w:val="hybridMultilevel"/>
    <w:tmpl w:val="84C61B12"/>
    <w:lvl w:ilvl="0" w:tplc="E2DCC2E6">
      <w:start w:val="14"/>
      <w:numFmt w:val="bullet"/>
      <w:lvlText w:val="-"/>
      <w:lvlJc w:val="left"/>
      <w:pPr>
        <w:ind w:left="720" w:hanging="360"/>
      </w:pPr>
      <w:rPr>
        <w:rFonts w:ascii="Arial" w:eastAsia="Times New Roman" w:hAnsi="Arial" w:hint="default"/>
      </w:rPr>
    </w:lvl>
    <w:lvl w:ilvl="1" w:tplc="04070003">
      <w:start w:val="1"/>
      <w:numFmt w:val="bullet"/>
      <w:lvlText w:val="o"/>
      <w:lvlJc w:val="left"/>
      <w:pPr>
        <w:ind w:left="1211"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C19DA"/>
    <w:multiLevelType w:val="multilevel"/>
    <w:tmpl w:val="EC18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930D56"/>
    <w:multiLevelType w:val="hybridMultilevel"/>
    <w:tmpl w:val="080E4984"/>
    <w:lvl w:ilvl="0" w:tplc="F6ACEE00">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50552B"/>
    <w:multiLevelType w:val="hybridMultilevel"/>
    <w:tmpl w:val="C916C8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AB5281"/>
    <w:multiLevelType w:val="multilevel"/>
    <w:tmpl w:val="C58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F28AD"/>
    <w:multiLevelType w:val="multilevel"/>
    <w:tmpl w:val="6A0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87BC0"/>
    <w:multiLevelType w:val="hybridMultilevel"/>
    <w:tmpl w:val="AF1C7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FF3D94"/>
    <w:multiLevelType w:val="hybridMultilevel"/>
    <w:tmpl w:val="C096AEA2"/>
    <w:lvl w:ilvl="0" w:tplc="00B2F37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E41BE0"/>
    <w:multiLevelType w:val="multilevel"/>
    <w:tmpl w:val="1A76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684072"/>
    <w:multiLevelType w:val="hybridMultilevel"/>
    <w:tmpl w:val="0E38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4F5A3C"/>
    <w:multiLevelType w:val="multilevel"/>
    <w:tmpl w:val="FF423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3D1C0D"/>
    <w:multiLevelType w:val="multilevel"/>
    <w:tmpl w:val="B5A2B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867DD8"/>
    <w:multiLevelType w:val="multilevel"/>
    <w:tmpl w:val="4E7C452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0"/>
        </w:tabs>
        <w:ind w:left="0" w:hanging="360"/>
      </w:pPr>
      <w:rPr>
        <w:rFonts w:ascii="Symbol" w:hAnsi="Symbol" w:hint="default"/>
        <w:sz w:val="20"/>
      </w:rPr>
    </w:lvl>
    <w:lvl w:ilvl="5" w:tentative="1">
      <w:start w:val="1"/>
      <w:numFmt w:val="bullet"/>
      <w:lvlText w:val=""/>
      <w:lvlJc w:val="left"/>
      <w:pPr>
        <w:tabs>
          <w:tab w:val="num" w:pos="720"/>
        </w:tabs>
        <w:ind w:left="720" w:hanging="360"/>
      </w:pPr>
      <w:rPr>
        <w:rFonts w:ascii="Symbol" w:hAnsi="Symbol" w:hint="default"/>
        <w:sz w:val="20"/>
      </w:rPr>
    </w:lvl>
    <w:lvl w:ilvl="6" w:tentative="1">
      <w:start w:val="1"/>
      <w:numFmt w:val="bullet"/>
      <w:lvlText w:val=""/>
      <w:lvlJc w:val="left"/>
      <w:pPr>
        <w:tabs>
          <w:tab w:val="num" w:pos="1440"/>
        </w:tabs>
        <w:ind w:left="1440" w:hanging="360"/>
      </w:pPr>
      <w:rPr>
        <w:rFonts w:ascii="Symbol" w:hAnsi="Symbol" w:hint="default"/>
        <w:sz w:val="20"/>
      </w:rPr>
    </w:lvl>
    <w:lvl w:ilvl="7" w:tentative="1">
      <w:start w:val="1"/>
      <w:numFmt w:val="bullet"/>
      <w:lvlText w:val=""/>
      <w:lvlJc w:val="left"/>
      <w:pPr>
        <w:tabs>
          <w:tab w:val="num" w:pos="2160"/>
        </w:tabs>
        <w:ind w:left="2160" w:hanging="360"/>
      </w:pPr>
      <w:rPr>
        <w:rFonts w:ascii="Symbol" w:hAnsi="Symbol" w:hint="default"/>
        <w:sz w:val="20"/>
      </w:rPr>
    </w:lvl>
    <w:lvl w:ilvl="8" w:tentative="1">
      <w:start w:val="1"/>
      <w:numFmt w:val="bullet"/>
      <w:lvlText w:val=""/>
      <w:lvlJc w:val="left"/>
      <w:pPr>
        <w:tabs>
          <w:tab w:val="num" w:pos="2880"/>
        </w:tabs>
        <w:ind w:left="2880" w:hanging="360"/>
      </w:pPr>
      <w:rPr>
        <w:rFonts w:ascii="Symbol" w:hAnsi="Symbol" w:hint="default"/>
        <w:sz w:val="20"/>
      </w:rPr>
    </w:lvl>
  </w:abstractNum>
  <w:abstractNum w:abstractNumId="18" w15:restartNumberingAfterBreak="0">
    <w:nsid w:val="55AD23D3"/>
    <w:multiLevelType w:val="hybridMultilevel"/>
    <w:tmpl w:val="2E643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6C3F81"/>
    <w:multiLevelType w:val="multilevel"/>
    <w:tmpl w:val="D0B0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C8238E"/>
    <w:multiLevelType w:val="multilevel"/>
    <w:tmpl w:val="7DEC2AD4"/>
    <w:lvl w:ilvl="0">
      <w:numFmt w:val="bullet"/>
      <w:lvlText w:val="-"/>
      <w:lvlJc w:val="left"/>
      <w:pPr>
        <w:tabs>
          <w:tab w:val="num" w:pos="720"/>
        </w:tabs>
        <w:ind w:left="720" w:hanging="360"/>
      </w:pPr>
      <w:rPr>
        <w:rFonts w:ascii="Calibri" w:eastAsia="Calibri" w:hAnsi="Calibri" w:cs="Calibri" w:hint="default"/>
        <w:sz w:val="20"/>
      </w:rPr>
    </w:lvl>
    <w:lvl w:ilvl="1">
      <w:numFmt w:val="bullet"/>
      <w:lvlText w:val="-"/>
      <w:lvlJc w:val="left"/>
      <w:pPr>
        <w:tabs>
          <w:tab w:val="num" w:pos="1440"/>
        </w:tabs>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0225F"/>
    <w:multiLevelType w:val="multilevel"/>
    <w:tmpl w:val="996C3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561EDA"/>
    <w:multiLevelType w:val="multilevel"/>
    <w:tmpl w:val="8A0A11F8"/>
    <w:lvl w:ilvl="0">
      <w:numFmt w:val="bullet"/>
      <w:lvlText w:val="-"/>
      <w:lvlJc w:val="left"/>
      <w:pPr>
        <w:tabs>
          <w:tab w:val="num" w:pos="720"/>
        </w:tabs>
        <w:ind w:left="720" w:hanging="360"/>
      </w:pPr>
      <w:rPr>
        <w:rFonts w:ascii="Calibri" w:eastAsia="Calibri" w:hAnsi="Calibri" w:cs="Calibri" w:hint="default"/>
        <w:sz w:val="20"/>
      </w:rPr>
    </w:lvl>
    <w:lvl w:ilvl="1">
      <w:numFmt w:val="bullet"/>
      <w:lvlText w:val="-"/>
      <w:lvlJc w:val="left"/>
      <w:pPr>
        <w:tabs>
          <w:tab w:val="num" w:pos="1440"/>
        </w:tabs>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3F1344"/>
    <w:multiLevelType w:val="hybridMultilevel"/>
    <w:tmpl w:val="D5E4204A"/>
    <w:lvl w:ilvl="0" w:tplc="00CCD0F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D4459"/>
    <w:multiLevelType w:val="hybridMultilevel"/>
    <w:tmpl w:val="774875A2"/>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5" w15:restartNumberingAfterBreak="0">
    <w:nsid w:val="788C6AF2"/>
    <w:multiLevelType w:val="hybridMultilevel"/>
    <w:tmpl w:val="40E063FC"/>
    <w:lvl w:ilvl="0" w:tplc="30A492E0">
      <w:start w:val="1"/>
      <w:numFmt w:val="bullet"/>
      <w:lvlText w:val="–"/>
      <w:lvlJc w:val="left"/>
      <w:pPr>
        <w:tabs>
          <w:tab w:val="num" w:pos="360"/>
        </w:tabs>
        <w:ind w:left="360" w:hanging="360"/>
      </w:pPr>
      <w:rPr>
        <w:rFonts w:ascii="Times New Roman" w:hAnsi="Times New Roman" w:hint="default"/>
      </w:rPr>
    </w:lvl>
    <w:lvl w:ilvl="1" w:tplc="2626CA94">
      <w:start w:val="1"/>
      <w:numFmt w:val="bullet"/>
      <w:lvlText w:val="–"/>
      <w:lvlJc w:val="left"/>
      <w:pPr>
        <w:tabs>
          <w:tab w:val="num" w:pos="1080"/>
        </w:tabs>
        <w:ind w:left="1080" w:hanging="360"/>
      </w:pPr>
      <w:rPr>
        <w:rFonts w:ascii="Times New Roman" w:hAnsi="Times New Roman" w:hint="default"/>
      </w:rPr>
    </w:lvl>
    <w:lvl w:ilvl="2" w:tplc="472CD05A" w:tentative="1">
      <w:start w:val="1"/>
      <w:numFmt w:val="bullet"/>
      <w:lvlText w:val="–"/>
      <w:lvlJc w:val="left"/>
      <w:pPr>
        <w:tabs>
          <w:tab w:val="num" w:pos="1800"/>
        </w:tabs>
        <w:ind w:left="1800" w:hanging="360"/>
      </w:pPr>
      <w:rPr>
        <w:rFonts w:ascii="Times New Roman" w:hAnsi="Times New Roman" w:hint="default"/>
      </w:rPr>
    </w:lvl>
    <w:lvl w:ilvl="3" w:tplc="930CABF2" w:tentative="1">
      <w:start w:val="1"/>
      <w:numFmt w:val="bullet"/>
      <w:lvlText w:val="–"/>
      <w:lvlJc w:val="left"/>
      <w:pPr>
        <w:tabs>
          <w:tab w:val="num" w:pos="2520"/>
        </w:tabs>
        <w:ind w:left="2520" w:hanging="360"/>
      </w:pPr>
      <w:rPr>
        <w:rFonts w:ascii="Times New Roman" w:hAnsi="Times New Roman" w:hint="default"/>
      </w:rPr>
    </w:lvl>
    <w:lvl w:ilvl="4" w:tplc="EAF8B2AC" w:tentative="1">
      <w:start w:val="1"/>
      <w:numFmt w:val="bullet"/>
      <w:lvlText w:val="–"/>
      <w:lvlJc w:val="left"/>
      <w:pPr>
        <w:tabs>
          <w:tab w:val="num" w:pos="3240"/>
        </w:tabs>
        <w:ind w:left="3240" w:hanging="360"/>
      </w:pPr>
      <w:rPr>
        <w:rFonts w:ascii="Times New Roman" w:hAnsi="Times New Roman" w:hint="default"/>
      </w:rPr>
    </w:lvl>
    <w:lvl w:ilvl="5" w:tplc="05747C84" w:tentative="1">
      <w:start w:val="1"/>
      <w:numFmt w:val="bullet"/>
      <w:lvlText w:val="–"/>
      <w:lvlJc w:val="left"/>
      <w:pPr>
        <w:tabs>
          <w:tab w:val="num" w:pos="3960"/>
        </w:tabs>
        <w:ind w:left="3960" w:hanging="360"/>
      </w:pPr>
      <w:rPr>
        <w:rFonts w:ascii="Times New Roman" w:hAnsi="Times New Roman" w:hint="default"/>
      </w:rPr>
    </w:lvl>
    <w:lvl w:ilvl="6" w:tplc="63AAEF16" w:tentative="1">
      <w:start w:val="1"/>
      <w:numFmt w:val="bullet"/>
      <w:lvlText w:val="–"/>
      <w:lvlJc w:val="left"/>
      <w:pPr>
        <w:tabs>
          <w:tab w:val="num" w:pos="4680"/>
        </w:tabs>
        <w:ind w:left="4680" w:hanging="360"/>
      </w:pPr>
      <w:rPr>
        <w:rFonts w:ascii="Times New Roman" w:hAnsi="Times New Roman" w:hint="default"/>
      </w:rPr>
    </w:lvl>
    <w:lvl w:ilvl="7" w:tplc="C1625718" w:tentative="1">
      <w:start w:val="1"/>
      <w:numFmt w:val="bullet"/>
      <w:lvlText w:val="–"/>
      <w:lvlJc w:val="left"/>
      <w:pPr>
        <w:tabs>
          <w:tab w:val="num" w:pos="5400"/>
        </w:tabs>
        <w:ind w:left="5400" w:hanging="360"/>
      </w:pPr>
      <w:rPr>
        <w:rFonts w:ascii="Times New Roman" w:hAnsi="Times New Roman" w:hint="default"/>
      </w:rPr>
    </w:lvl>
    <w:lvl w:ilvl="8" w:tplc="BBC622F4"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A43217F"/>
    <w:multiLevelType w:val="multilevel"/>
    <w:tmpl w:val="5A803E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F26355"/>
    <w:multiLevelType w:val="hybridMultilevel"/>
    <w:tmpl w:val="8876B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1"/>
  </w:num>
  <w:num w:numId="5">
    <w:abstractNumId w:val="27"/>
  </w:num>
  <w:num w:numId="6">
    <w:abstractNumId w:val="7"/>
  </w:num>
  <w:num w:numId="7">
    <w:abstractNumId w:val="25"/>
  </w:num>
  <w:num w:numId="8">
    <w:abstractNumId w:val="24"/>
  </w:num>
  <w:num w:numId="9">
    <w:abstractNumId w:val="14"/>
  </w:num>
  <w:num w:numId="10">
    <w:abstractNumId w:val="15"/>
  </w:num>
  <w:num w:numId="11">
    <w:abstractNumId w:val="17"/>
  </w:num>
  <w:num w:numId="12">
    <w:abstractNumId w:val="13"/>
  </w:num>
  <w:num w:numId="13">
    <w:abstractNumId w:val="16"/>
  </w:num>
  <w:num w:numId="14">
    <w:abstractNumId w:val="2"/>
  </w:num>
  <w:num w:numId="15">
    <w:abstractNumId w:val="3"/>
  </w:num>
  <w:num w:numId="16">
    <w:abstractNumId w:val="19"/>
  </w:num>
  <w:num w:numId="17">
    <w:abstractNumId w:val="9"/>
  </w:num>
  <w:num w:numId="18">
    <w:abstractNumId w:val="4"/>
  </w:num>
  <w:num w:numId="19">
    <w:abstractNumId w:val="6"/>
  </w:num>
  <w:num w:numId="20">
    <w:abstractNumId w:val="23"/>
  </w:num>
  <w:num w:numId="21">
    <w:abstractNumId w:val="1"/>
  </w:num>
  <w:num w:numId="22">
    <w:abstractNumId w:val="26"/>
  </w:num>
  <w:num w:numId="23">
    <w:abstractNumId w:val="20"/>
  </w:num>
  <w:num w:numId="24">
    <w:abstractNumId w:val="0"/>
  </w:num>
  <w:num w:numId="25">
    <w:abstractNumId w:val="22"/>
  </w:num>
  <w:num w:numId="26">
    <w:abstractNumId w:val="18"/>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D6"/>
    <w:rsid w:val="000039C1"/>
    <w:rsid w:val="00007B7A"/>
    <w:rsid w:val="00040448"/>
    <w:rsid w:val="000632F5"/>
    <w:rsid w:val="000C34D8"/>
    <w:rsid w:val="000D2830"/>
    <w:rsid w:val="000F319E"/>
    <w:rsid w:val="00102F2C"/>
    <w:rsid w:val="001135EE"/>
    <w:rsid w:val="001459B5"/>
    <w:rsid w:val="0014749F"/>
    <w:rsid w:val="001A012C"/>
    <w:rsid w:val="001C5B69"/>
    <w:rsid w:val="00230DA4"/>
    <w:rsid w:val="002761C5"/>
    <w:rsid w:val="002F1FEA"/>
    <w:rsid w:val="002F2E35"/>
    <w:rsid w:val="00347296"/>
    <w:rsid w:val="003619C4"/>
    <w:rsid w:val="00377486"/>
    <w:rsid w:val="0038732A"/>
    <w:rsid w:val="003E728E"/>
    <w:rsid w:val="003F1586"/>
    <w:rsid w:val="00400189"/>
    <w:rsid w:val="0040692B"/>
    <w:rsid w:val="00417389"/>
    <w:rsid w:val="004417F6"/>
    <w:rsid w:val="0048191D"/>
    <w:rsid w:val="00493F43"/>
    <w:rsid w:val="004E0998"/>
    <w:rsid w:val="004E73AD"/>
    <w:rsid w:val="004F4618"/>
    <w:rsid w:val="004F7243"/>
    <w:rsid w:val="00501219"/>
    <w:rsid w:val="00524C9E"/>
    <w:rsid w:val="00537376"/>
    <w:rsid w:val="00557C61"/>
    <w:rsid w:val="005978F2"/>
    <w:rsid w:val="005A0CC5"/>
    <w:rsid w:val="005B3AC2"/>
    <w:rsid w:val="005F3865"/>
    <w:rsid w:val="0061270D"/>
    <w:rsid w:val="00662F2F"/>
    <w:rsid w:val="006A38FC"/>
    <w:rsid w:val="006D3698"/>
    <w:rsid w:val="00816051"/>
    <w:rsid w:val="008441E4"/>
    <w:rsid w:val="00851891"/>
    <w:rsid w:val="008B4CCE"/>
    <w:rsid w:val="008E29E4"/>
    <w:rsid w:val="00915396"/>
    <w:rsid w:val="00961A98"/>
    <w:rsid w:val="00995C4B"/>
    <w:rsid w:val="009A51A2"/>
    <w:rsid w:val="009B09F6"/>
    <w:rsid w:val="009C3DCA"/>
    <w:rsid w:val="00A0359C"/>
    <w:rsid w:val="00A14886"/>
    <w:rsid w:val="00A21F9B"/>
    <w:rsid w:val="00A360F6"/>
    <w:rsid w:val="00A457DE"/>
    <w:rsid w:val="00A608B3"/>
    <w:rsid w:val="00A84785"/>
    <w:rsid w:val="00AA328A"/>
    <w:rsid w:val="00AB0DE2"/>
    <w:rsid w:val="00AC1725"/>
    <w:rsid w:val="00AD387B"/>
    <w:rsid w:val="00AF2FB1"/>
    <w:rsid w:val="00B338D8"/>
    <w:rsid w:val="00B460BE"/>
    <w:rsid w:val="00B470B4"/>
    <w:rsid w:val="00B50F05"/>
    <w:rsid w:val="00B52C82"/>
    <w:rsid w:val="00B8442D"/>
    <w:rsid w:val="00BE2C14"/>
    <w:rsid w:val="00BE5BC3"/>
    <w:rsid w:val="00BE6478"/>
    <w:rsid w:val="00BF1174"/>
    <w:rsid w:val="00C07D82"/>
    <w:rsid w:val="00C81B65"/>
    <w:rsid w:val="00C81FCE"/>
    <w:rsid w:val="00C9383F"/>
    <w:rsid w:val="00CB4334"/>
    <w:rsid w:val="00D219DA"/>
    <w:rsid w:val="00D64CF2"/>
    <w:rsid w:val="00DC6082"/>
    <w:rsid w:val="00E038ED"/>
    <w:rsid w:val="00E22F2B"/>
    <w:rsid w:val="00E23098"/>
    <w:rsid w:val="00E37A51"/>
    <w:rsid w:val="00E93220"/>
    <w:rsid w:val="00F06645"/>
    <w:rsid w:val="00F20E34"/>
    <w:rsid w:val="00F524D8"/>
    <w:rsid w:val="00FB5299"/>
    <w:rsid w:val="00FB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AAAE"/>
  <w15:docId w15:val="{B95BEF39-EC93-4EB3-9E0D-83081FCE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34D8"/>
    <w:pPr>
      <w:spacing w:after="0" w:line="240" w:lineRule="auto"/>
      <w:ind w:left="708"/>
    </w:pPr>
    <w:rPr>
      <w:rFonts w:ascii="Times New Roman" w:eastAsia="Times New Roman" w:hAnsi="Times New Roman" w:cs="Times New Roman"/>
      <w:sz w:val="24"/>
      <w:szCs w:val="20"/>
    </w:rPr>
  </w:style>
  <w:style w:type="character" w:styleId="Verwijzingopmerking">
    <w:name w:val="annotation reference"/>
    <w:basedOn w:val="Standaardalinea-lettertype"/>
    <w:uiPriority w:val="99"/>
    <w:semiHidden/>
    <w:unhideWhenUsed/>
    <w:rsid w:val="0038732A"/>
    <w:rPr>
      <w:sz w:val="16"/>
      <w:szCs w:val="16"/>
    </w:rPr>
  </w:style>
  <w:style w:type="paragraph" w:styleId="Tekstopmerking">
    <w:name w:val="annotation text"/>
    <w:basedOn w:val="Standaard"/>
    <w:link w:val="TekstopmerkingChar"/>
    <w:uiPriority w:val="99"/>
    <w:semiHidden/>
    <w:unhideWhenUsed/>
    <w:rsid w:val="003873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732A"/>
    <w:rPr>
      <w:sz w:val="20"/>
      <w:szCs w:val="20"/>
    </w:rPr>
  </w:style>
  <w:style w:type="paragraph" w:styleId="Onderwerpvanopmerking">
    <w:name w:val="annotation subject"/>
    <w:basedOn w:val="Tekstopmerking"/>
    <w:next w:val="Tekstopmerking"/>
    <w:link w:val="OnderwerpvanopmerkingChar"/>
    <w:uiPriority w:val="99"/>
    <w:semiHidden/>
    <w:unhideWhenUsed/>
    <w:rsid w:val="0038732A"/>
    <w:rPr>
      <w:b/>
      <w:bCs/>
    </w:rPr>
  </w:style>
  <w:style w:type="character" w:customStyle="1" w:styleId="OnderwerpvanopmerkingChar">
    <w:name w:val="Onderwerp van opmerking Char"/>
    <w:basedOn w:val="TekstopmerkingChar"/>
    <w:link w:val="Onderwerpvanopmerking"/>
    <w:uiPriority w:val="99"/>
    <w:semiHidden/>
    <w:rsid w:val="0038732A"/>
    <w:rPr>
      <w:b/>
      <w:bCs/>
      <w:sz w:val="20"/>
      <w:szCs w:val="20"/>
    </w:rPr>
  </w:style>
  <w:style w:type="paragraph" w:styleId="Ballontekst">
    <w:name w:val="Balloon Text"/>
    <w:basedOn w:val="Standaard"/>
    <w:link w:val="BallontekstChar"/>
    <w:uiPriority w:val="99"/>
    <w:semiHidden/>
    <w:unhideWhenUsed/>
    <w:rsid w:val="003873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732A"/>
    <w:rPr>
      <w:rFonts w:ascii="Segoe UI" w:hAnsi="Segoe UI" w:cs="Segoe UI"/>
      <w:sz w:val="18"/>
      <w:szCs w:val="18"/>
    </w:rPr>
  </w:style>
  <w:style w:type="character" w:styleId="Hyperlink">
    <w:name w:val="Hyperlink"/>
    <w:basedOn w:val="Standaardalinea-lettertype"/>
    <w:uiPriority w:val="99"/>
    <w:unhideWhenUsed/>
    <w:rsid w:val="00493F43"/>
    <w:rPr>
      <w:color w:val="0563C1" w:themeColor="hyperlink"/>
      <w:u w:val="single"/>
    </w:rPr>
  </w:style>
  <w:style w:type="character" w:customStyle="1" w:styleId="UnresolvedMention1">
    <w:name w:val="Unresolved Mention1"/>
    <w:basedOn w:val="Standaardalinea-lettertype"/>
    <w:uiPriority w:val="99"/>
    <w:semiHidden/>
    <w:unhideWhenUsed/>
    <w:rsid w:val="00493F43"/>
    <w:rPr>
      <w:color w:val="605E5C"/>
      <w:shd w:val="clear" w:color="auto" w:fill="E1DFDD"/>
    </w:rPr>
  </w:style>
  <w:style w:type="character" w:styleId="Zwaar">
    <w:name w:val="Strong"/>
    <w:basedOn w:val="Standaardalinea-lettertype"/>
    <w:uiPriority w:val="22"/>
    <w:qFormat/>
    <w:rsid w:val="00A84785"/>
    <w:rPr>
      <w:b/>
      <w:bCs/>
    </w:rPr>
  </w:style>
  <w:style w:type="character" w:styleId="GevolgdeHyperlink">
    <w:name w:val="FollowedHyperlink"/>
    <w:basedOn w:val="Standaardalinea-lettertype"/>
    <w:uiPriority w:val="99"/>
    <w:semiHidden/>
    <w:unhideWhenUsed/>
    <w:rsid w:val="00A608B3"/>
    <w:rPr>
      <w:color w:val="954F72" w:themeColor="followedHyperlink"/>
      <w:u w:val="single"/>
    </w:rPr>
  </w:style>
  <w:style w:type="paragraph" w:styleId="Normaalweb">
    <w:name w:val="Normal (Web)"/>
    <w:basedOn w:val="Standaard"/>
    <w:uiPriority w:val="99"/>
    <w:semiHidden/>
    <w:unhideWhenUsed/>
    <w:rsid w:val="005B3A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Onopgelostemelding">
    <w:name w:val="Unresolved Mention"/>
    <w:basedOn w:val="Standaardalinea-lettertype"/>
    <w:uiPriority w:val="99"/>
    <w:semiHidden/>
    <w:unhideWhenUsed/>
    <w:rsid w:val="00851891"/>
    <w:rPr>
      <w:color w:val="605E5C"/>
      <w:shd w:val="clear" w:color="auto" w:fill="E1DFDD"/>
    </w:rPr>
  </w:style>
  <w:style w:type="paragraph" w:styleId="Koptekst">
    <w:name w:val="header"/>
    <w:basedOn w:val="Standaard"/>
    <w:link w:val="KoptekstChar"/>
    <w:uiPriority w:val="99"/>
    <w:unhideWhenUsed/>
    <w:rsid w:val="000039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39C1"/>
  </w:style>
  <w:style w:type="paragraph" w:styleId="Voettekst">
    <w:name w:val="footer"/>
    <w:basedOn w:val="Standaard"/>
    <w:link w:val="VoettekstChar"/>
    <w:uiPriority w:val="99"/>
    <w:unhideWhenUsed/>
    <w:rsid w:val="000039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8534">
      <w:bodyDiv w:val="1"/>
      <w:marLeft w:val="0"/>
      <w:marRight w:val="0"/>
      <w:marTop w:val="0"/>
      <w:marBottom w:val="0"/>
      <w:divBdr>
        <w:top w:val="none" w:sz="0" w:space="0" w:color="auto"/>
        <w:left w:val="none" w:sz="0" w:space="0" w:color="auto"/>
        <w:bottom w:val="none" w:sz="0" w:space="0" w:color="auto"/>
        <w:right w:val="none" w:sz="0" w:space="0" w:color="auto"/>
      </w:divBdr>
    </w:div>
    <w:div w:id="531381217">
      <w:bodyDiv w:val="1"/>
      <w:marLeft w:val="0"/>
      <w:marRight w:val="0"/>
      <w:marTop w:val="0"/>
      <w:marBottom w:val="0"/>
      <w:divBdr>
        <w:top w:val="none" w:sz="0" w:space="0" w:color="auto"/>
        <w:left w:val="none" w:sz="0" w:space="0" w:color="auto"/>
        <w:bottom w:val="none" w:sz="0" w:space="0" w:color="auto"/>
        <w:right w:val="none" w:sz="0" w:space="0" w:color="auto"/>
      </w:divBdr>
    </w:div>
    <w:div w:id="813181840">
      <w:bodyDiv w:val="1"/>
      <w:marLeft w:val="0"/>
      <w:marRight w:val="0"/>
      <w:marTop w:val="0"/>
      <w:marBottom w:val="0"/>
      <w:divBdr>
        <w:top w:val="none" w:sz="0" w:space="0" w:color="auto"/>
        <w:left w:val="none" w:sz="0" w:space="0" w:color="auto"/>
        <w:bottom w:val="none" w:sz="0" w:space="0" w:color="auto"/>
        <w:right w:val="none" w:sz="0" w:space="0" w:color="auto"/>
      </w:divBdr>
    </w:div>
    <w:div w:id="872814375">
      <w:bodyDiv w:val="1"/>
      <w:marLeft w:val="0"/>
      <w:marRight w:val="0"/>
      <w:marTop w:val="0"/>
      <w:marBottom w:val="0"/>
      <w:divBdr>
        <w:top w:val="none" w:sz="0" w:space="0" w:color="auto"/>
        <w:left w:val="none" w:sz="0" w:space="0" w:color="auto"/>
        <w:bottom w:val="none" w:sz="0" w:space="0" w:color="auto"/>
        <w:right w:val="none" w:sz="0" w:space="0" w:color="auto"/>
      </w:divBdr>
    </w:div>
    <w:div w:id="1108547148">
      <w:bodyDiv w:val="1"/>
      <w:marLeft w:val="0"/>
      <w:marRight w:val="0"/>
      <w:marTop w:val="0"/>
      <w:marBottom w:val="0"/>
      <w:divBdr>
        <w:top w:val="none" w:sz="0" w:space="0" w:color="auto"/>
        <w:left w:val="none" w:sz="0" w:space="0" w:color="auto"/>
        <w:bottom w:val="none" w:sz="0" w:space="0" w:color="auto"/>
        <w:right w:val="none" w:sz="0" w:space="0" w:color="auto"/>
      </w:divBdr>
      <w:divsChild>
        <w:div w:id="1496022493">
          <w:marLeft w:val="1166"/>
          <w:marRight w:val="0"/>
          <w:marTop w:val="72"/>
          <w:marBottom w:val="0"/>
          <w:divBdr>
            <w:top w:val="none" w:sz="0" w:space="0" w:color="auto"/>
            <w:left w:val="none" w:sz="0" w:space="0" w:color="auto"/>
            <w:bottom w:val="none" w:sz="0" w:space="0" w:color="auto"/>
            <w:right w:val="none" w:sz="0" w:space="0" w:color="auto"/>
          </w:divBdr>
        </w:div>
      </w:divsChild>
    </w:div>
    <w:div w:id="1196384342">
      <w:bodyDiv w:val="1"/>
      <w:marLeft w:val="0"/>
      <w:marRight w:val="0"/>
      <w:marTop w:val="0"/>
      <w:marBottom w:val="0"/>
      <w:divBdr>
        <w:top w:val="none" w:sz="0" w:space="0" w:color="auto"/>
        <w:left w:val="none" w:sz="0" w:space="0" w:color="auto"/>
        <w:bottom w:val="none" w:sz="0" w:space="0" w:color="auto"/>
        <w:right w:val="none" w:sz="0" w:space="0" w:color="auto"/>
      </w:divBdr>
      <w:divsChild>
        <w:div w:id="1160462345">
          <w:marLeft w:val="1166"/>
          <w:marRight w:val="0"/>
          <w:marTop w:val="72"/>
          <w:marBottom w:val="0"/>
          <w:divBdr>
            <w:top w:val="none" w:sz="0" w:space="0" w:color="auto"/>
            <w:left w:val="none" w:sz="0" w:space="0" w:color="auto"/>
            <w:bottom w:val="none" w:sz="0" w:space="0" w:color="auto"/>
            <w:right w:val="none" w:sz="0" w:space="0" w:color="auto"/>
          </w:divBdr>
        </w:div>
      </w:divsChild>
    </w:div>
    <w:div w:id="1222985118">
      <w:bodyDiv w:val="1"/>
      <w:marLeft w:val="0"/>
      <w:marRight w:val="0"/>
      <w:marTop w:val="0"/>
      <w:marBottom w:val="0"/>
      <w:divBdr>
        <w:top w:val="none" w:sz="0" w:space="0" w:color="auto"/>
        <w:left w:val="none" w:sz="0" w:space="0" w:color="auto"/>
        <w:bottom w:val="none" w:sz="0" w:space="0" w:color="auto"/>
        <w:right w:val="none" w:sz="0" w:space="0" w:color="auto"/>
      </w:divBdr>
    </w:div>
    <w:div w:id="1245411501">
      <w:bodyDiv w:val="1"/>
      <w:marLeft w:val="0"/>
      <w:marRight w:val="0"/>
      <w:marTop w:val="0"/>
      <w:marBottom w:val="0"/>
      <w:divBdr>
        <w:top w:val="none" w:sz="0" w:space="0" w:color="auto"/>
        <w:left w:val="none" w:sz="0" w:space="0" w:color="auto"/>
        <w:bottom w:val="none" w:sz="0" w:space="0" w:color="auto"/>
        <w:right w:val="none" w:sz="0" w:space="0" w:color="auto"/>
      </w:divBdr>
    </w:div>
    <w:div w:id="14957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737CE-BBB1-4DE7-87C4-6FE7689F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5437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Energy Saving Trust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Hoy</dc:creator>
  <cp:lastModifiedBy>Nunen, W.J.G.M. van (Wiesje)</cp:lastModifiedBy>
  <cp:revision>3</cp:revision>
  <dcterms:created xsi:type="dcterms:W3CDTF">2020-12-02T08:34:00Z</dcterms:created>
  <dcterms:modified xsi:type="dcterms:W3CDTF">2020-12-02T08:35:00Z</dcterms:modified>
</cp:coreProperties>
</file>