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40DE" w14:textId="64019F69" w:rsidR="00FB5ED6" w:rsidRDefault="00FB5ED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4D62F3" wp14:editId="61A8B01B">
            <wp:simplePos x="0" y="0"/>
            <wp:positionH relativeFrom="margin">
              <wp:posOffset>-419100</wp:posOffset>
            </wp:positionH>
            <wp:positionV relativeFrom="paragraph">
              <wp:posOffset>-662940</wp:posOffset>
            </wp:positionV>
            <wp:extent cx="5684520" cy="2480795"/>
            <wp:effectExtent l="0" t="0" r="0" b="0"/>
            <wp:wrapNone/>
            <wp:docPr id="1" name="Imagem 1" descr="ENR Letter Head H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NR Letter Head H(RG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06" cy="2488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DB133" w14:textId="77777777" w:rsidR="00FB5ED6" w:rsidRDefault="00FB5ED6"/>
    <w:p w14:paraId="7CADD718" w14:textId="19A8AC6E" w:rsidR="009B09F6" w:rsidRDefault="009B09F6"/>
    <w:p w14:paraId="76EBA85D" w14:textId="0D3940E7" w:rsidR="00FB5ED6" w:rsidRDefault="00FB5ED6"/>
    <w:p w14:paraId="1837D01B" w14:textId="2E2CE67C" w:rsidR="00FB5ED6" w:rsidRDefault="00FB5ED6"/>
    <w:p w14:paraId="0B92E836" w14:textId="77777777" w:rsidR="00FB5ED6" w:rsidRDefault="00FB5ED6"/>
    <w:p w14:paraId="1BD031A7" w14:textId="77777777" w:rsidR="00FB5ED6" w:rsidRPr="00FB5ED6" w:rsidRDefault="00FB5ED6" w:rsidP="00FB5ED6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FB5ED6">
        <w:rPr>
          <w:rFonts w:ascii="Arial" w:hAnsi="Arial" w:cs="Arial"/>
          <w:b/>
          <w:sz w:val="26"/>
          <w:szCs w:val="26"/>
        </w:rPr>
        <w:t>13 - 14 February 2019</w:t>
      </w:r>
    </w:p>
    <w:p w14:paraId="1D0D9562" w14:textId="35C69585" w:rsidR="00FB5ED6" w:rsidRPr="00FB5ED6" w:rsidRDefault="00FB5ED6" w:rsidP="00FB5ED6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b/>
          <w:spacing w:val="-3"/>
          <w:sz w:val="30"/>
          <w:szCs w:val="30"/>
        </w:rPr>
      </w:pPr>
      <w:proofErr w:type="spellStart"/>
      <w:r w:rsidRPr="00FB5ED6">
        <w:rPr>
          <w:rFonts w:ascii="Arial" w:hAnsi="Arial" w:cs="Arial"/>
          <w:b/>
          <w:spacing w:val="-3"/>
          <w:sz w:val="30"/>
          <w:szCs w:val="30"/>
        </w:rPr>
        <w:t>E</w:t>
      </w:r>
      <w:r w:rsidRPr="00FB5ED6">
        <w:rPr>
          <w:rFonts w:ascii="Arial" w:hAnsi="Arial" w:cs="Arial"/>
          <w:b/>
          <w:spacing w:val="-3"/>
          <w:sz w:val="30"/>
          <w:szCs w:val="30"/>
          <w:vertAlign w:val="superscript"/>
        </w:rPr>
        <w:t>n</w:t>
      </w:r>
      <w:r w:rsidRPr="00FB5ED6">
        <w:rPr>
          <w:rFonts w:ascii="Arial" w:hAnsi="Arial" w:cs="Arial"/>
          <w:b/>
          <w:spacing w:val="-3"/>
          <w:sz w:val="30"/>
          <w:szCs w:val="30"/>
        </w:rPr>
        <w:t>R</w:t>
      </w:r>
      <w:proofErr w:type="spellEnd"/>
      <w:r w:rsidRPr="00FB5ED6">
        <w:rPr>
          <w:rFonts w:ascii="Arial" w:hAnsi="Arial" w:cs="Arial"/>
          <w:b/>
          <w:spacing w:val="-3"/>
          <w:sz w:val="30"/>
          <w:szCs w:val="30"/>
        </w:rPr>
        <w:t xml:space="preserve"> Full &amp; Regular Meeting (M64)</w:t>
      </w:r>
      <w:r w:rsidRPr="00FB5ED6">
        <w:rPr>
          <w:sz w:val="30"/>
          <w:szCs w:val="30"/>
        </w:rPr>
        <w:t xml:space="preserve"> </w:t>
      </w:r>
      <w:r w:rsidRPr="00FB5ED6">
        <w:rPr>
          <w:rFonts w:ascii="Arial" w:hAnsi="Arial" w:cs="Arial"/>
          <w:b/>
          <w:spacing w:val="-3"/>
          <w:sz w:val="30"/>
          <w:szCs w:val="30"/>
        </w:rPr>
        <w:t>Final Meeting Minutes</w:t>
      </w:r>
    </w:p>
    <w:p w14:paraId="1E62E3FD" w14:textId="77777777" w:rsidR="00FB5ED6" w:rsidRPr="00FB5ED6" w:rsidRDefault="00FB5ED6" w:rsidP="00FB5ED6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14:paraId="08179128" w14:textId="52D11E20" w:rsidR="00FB5ED6" w:rsidRDefault="00FB5ED6" w:rsidP="00FB5ED6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Pr="007C46C5">
        <w:rPr>
          <w:rFonts w:ascii="Arial" w:hAnsi="Arial" w:cs="Arial"/>
          <w:szCs w:val="24"/>
        </w:rPr>
        <w:t xml:space="preserve">osted by </w:t>
      </w:r>
      <w:r>
        <w:rPr>
          <w:rFonts w:ascii="Arial" w:hAnsi="Arial" w:cs="Arial"/>
          <w:szCs w:val="24"/>
        </w:rPr>
        <w:t>DENA in Berlin</w:t>
      </w:r>
    </w:p>
    <w:p w14:paraId="3B7D9AD3" w14:textId="44C2FBE5" w:rsidR="00FB5ED6" w:rsidRPr="007C46C5" w:rsidRDefault="00FB5ED6" w:rsidP="00FB5ED6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Chaired by Roberta Boniotti, ENEA, IT</w:t>
      </w:r>
    </w:p>
    <w:p w14:paraId="035D6ADA" w14:textId="31D8D775" w:rsidR="00FB5ED6" w:rsidRDefault="00FB5ED6"/>
    <w:p w14:paraId="66CE6810" w14:textId="44042C72" w:rsidR="00FB5ED6" w:rsidRPr="0038732A" w:rsidRDefault="00FB5ED6">
      <w:pPr>
        <w:rPr>
          <w:i/>
          <w:sz w:val="26"/>
          <w:szCs w:val="26"/>
        </w:rPr>
      </w:pPr>
      <w:r w:rsidRPr="0038732A">
        <w:rPr>
          <w:i/>
          <w:sz w:val="26"/>
          <w:szCs w:val="26"/>
        </w:rPr>
        <w:t>Day 1 – 13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7057"/>
        <w:gridCol w:w="1318"/>
      </w:tblGrid>
      <w:tr w:rsidR="00FB5ED6" w14:paraId="2F8A79D8" w14:textId="77777777" w:rsidTr="00493F43">
        <w:tc>
          <w:tcPr>
            <w:tcW w:w="641" w:type="dxa"/>
          </w:tcPr>
          <w:p w14:paraId="710174BB" w14:textId="28B421C9" w:rsidR="00FB5ED6" w:rsidRPr="00FB5ED6" w:rsidRDefault="00FB5ED6" w:rsidP="001B6211">
            <w:pPr>
              <w:rPr>
                <w:b/>
              </w:rPr>
            </w:pPr>
            <w:r w:rsidRPr="00FB5ED6">
              <w:rPr>
                <w:b/>
              </w:rPr>
              <w:t>Item</w:t>
            </w:r>
          </w:p>
        </w:tc>
        <w:tc>
          <w:tcPr>
            <w:tcW w:w="7057" w:type="dxa"/>
          </w:tcPr>
          <w:p w14:paraId="5FE81EBF" w14:textId="28DB7549" w:rsidR="00FB5ED6" w:rsidRPr="00FB5ED6" w:rsidRDefault="00FB5ED6" w:rsidP="001B6211">
            <w:pPr>
              <w:rPr>
                <w:b/>
              </w:rPr>
            </w:pPr>
            <w:r w:rsidRPr="00FB5ED6">
              <w:rPr>
                <w:b/>
              </w:rPr>
              <w:t>Description</w:t>
            </w:r>
          </w:p>
        </w:tc>
        <w:tc>
          <w:tcPr>
            <w:tcW w:w="1318" w:type="dxa"/>
          </w:tcPr>
          <w:p w14:paraId="66F0661E" w14:textId="048F6CAB" w:rsidR="00FB5ED6" w:rsidRPr="00FB5ED6" w:rsidRDefault="00FB5ED6" w:rsidP="001B6211">
            <w:pPr>
              <w:rPr>
                <w:b/>
              </w:rPr>
            </w:pPr>
            <w:r w:rsidRPr="00FB5ED6">
              <w:rPr>
                <w:b/>
              </w:rPr>
              <w:t>Responsible</w:t>
            </w:r>
          </w:p>
        </w:tc>
      </w:tr>
      <w:tr w:rsidR="00FB5ED6" w14:paraId="27FEC118" w14:textId="77777777" w:rsidTr="00493F43">
        <w:tc>
          <w:tcPr>
            <w:tcW w:w="641" w:type="dxa"/>
          </w:tcPr>
          <w:p w14:paraId="6E71315A" w14:textId="77E92A67" w:rsidR="00FB5ED6" w:rsidRPr="00FB5ED6" w:rsidRDefault="00FB5ED6" w:rsidP="00FB5ED6">
            <w:pPr>
              <w:rPr>
                <w:b/>
              </w:rPr>
            </w:pPr>
            <w:r w:rsidRPr="00FB5ED6">
              <w:rPr>
                <w:b/>
              </w:rPr>
              <w:t>1</w:t>
            </w:r>
          </w:p>
        </w:tc>
        <w:tc>
          <w:tcPr>
            <w:tcW w:w="7057" w:type="dxa"/>
          </w:tcPr>
          <w:p w14:paraId="077F3A64" w14:textId="470C9B37" w:rsidR="00FB5ED6" w:rsidRPr="00FB5ED6" w:rsidRDefault="00FB5ED6" w:rsidP="00FB5ED6">
            <w:pPr>
              <w:rPr>
                <w:b/>
              </w:rPr>
            </w:pPr>
            <w:r w:rsidRPr="00FB5ED6">
              <w:rPr>
                <w:b/>
              </w:rPr>
              <w:t>Opening session</w:t>
            </w:r>
          </w:p>
        </w:tc>
        <w:tc>
          <w:tcPr>
            <w:tcW w:w="1318" w:type="dxa"/>
          </w:tcPr>
          <w:p w14:paraId="36EFC8FF" w14:textId="77777777" w:rsidR="00FB5ED6" w:rsidRDefault="00FB5ED6" w:rsidP="00FB5ED6"/>
        </w:tc>
      </w:tr>
      <w:tr w:rsidR="00FB5ED6" w14:paraId="7A02BFBB" w14:textId="77777777" w:rsidTr="00493F43">
        <w:tc>
          <w:tcPr>
            <w:tcW w:w="641" w:type="dxa"/>
          </w:tcPr>
          <w:p w14:paraId="7342831E" w14:textId="49AB791A" w:rsidR="00FB5ED6" w:rsidRDefault="00FB5ED6" w:rsidP="00FB5ED6"/>
        </w:tc>
        <w:tc>
          <w:tcPr>
            <w:tcW w:w="7057" w:type="dxa"/>
          </w:tcPr>
          <w:p w14:paraId="7B5DCCEA" w14:textId="77777777" w:rsidR="00FB5ED6" w:rsidRPr="00537376" w:rsidRDefault="00FB5ED6" w:rsidP="00FB5ED6">
            <w:pPr>
              <w:rPr>
                <w:b/>
              </w:rPr>
            </w:pPr>
            <w:r w:rsidRPr="00537376">
              <w:rPr>
                <w:b/>
              </w:rPr>
              <w:t>Welcome by meeting host DENA</w:t>
            </w:r>
          </w:p>
          <w:p w14:paraId="5631CBCF" w14:textId="6AFB6E7B" w:rsidR="00B8442D" w:rsidRPr="00B8442D" w:rsidRDefault="00FB5ED6" w:rsidP="00FB5ED6">
            <w:pPr>
              <w:rPr>
                <w:rFonts w:ascii="Arial" w:hAnsi="Arial" w:cs="Arial"/>
                <w:i/>
              </w:rPr>
            </w:pPr>
            <w:r w:rsidRPr="00B8442D">
              <w:rPr>
                <w:i/>
              </w:rPr>
              <w:t>Kristin</w:t>
            </w:r>
            <w:r w:rsidR="00B8442D">
              <w:rPr>
                <w:i/>
              </w:rPr>
              <w:t>a</w:t>
            </w:r>
            <w:r w:rsidRPr="00B8442D">
              <w:rPr>
                <w:i/>
              </w:rPr>
              <w:t xml:space="preserve"> </w:t>
            </w:r>
            <w:proofErr w:type="spellStart"/>
            <w:r w:rsidRPr="00B8442D">
              <w:rPr>
                <w:i/>
              </w:rPr>
              <w:t>Haverkamp</w:t>
            </w:r>
            <w:proofErr w:type="spellEnd"/>
            <w:r w:rsidRPr="00B8442D">
              <w:rPr>
                <w:i/>
              </w:rPr>
              <w:t>, Managing Director, DENA</w:t>
            </w:r>
            <w:r w:rsidRPr="00B8442D">
              <w:rPr>
                <w:rFonts w:ascii="Arial" w:hAnsi="Arial" w:cs="Arial"/>
                <w:i/>
              </w:rPr>
              <w:t xml:space="preserve">    </w:t>
            </w:r>
          </w:p>
          <w:p w14:paraId="64152006" w14:textId="77777777" w:rsidR="00B8442D" w:rsidRDefault="00B8442D" w:rsidP="00FB5ED6">
            <w:pPr>
              <w:rPr>
                <w:rFonts w:ascii="Arial" w:hAnsi="Arial" w:cs="Arial"/>
              </w:rPr>
            </w:pPr>
          </w:p>
          <w:p w14:paraId="59AD0817" w14:textId="4ACA5AEC" w:rsidR="00FB5ED6" w:rsidRPr="00B8442D" w:rsidRDefault="00B8442D" w:rsidP="00B8442D">
            <w:r w:rsidRPr="00B8442D">
              <w:t xml:space="preserve">With regards to </w:t>
            </w:r>
            <w:r>
              <w:t xml:space="preserve">the </w:t>
            </w:r>
            <w:r w:rsidRPr="00B8442D">
              <w:t>Paris agreement,</w:t>
            </w:r>
            <w:r>
              <w:t xml:space="preserve"> </w:t>
            </w:r>
            <w:r w:rsidRPr="00B8442D">
              <w:t>Germany has missed some targets in terms of RES,</w:t>
            </w:r>
            <w:r>
              <w:t xml:space="preserve"> b</w:t>
            </w:r>
            <w:r w:rsidRPr="00B8442D">
              <w:t>uilding</w:t>
            </w:r>
            <w:r>
              <w:t>s</w:t>
            </w:r>
            <w:r w:rsidRPr="00B8442D">
              <w:t xml:space="preserve"> </w:t>
            </w:r>
            <w:r>
              <w:t>are</w:t>
            </w:r>
            <w:r w:rsidRPr="00B8442D">
              <w:t xml:space="preserve"> a challenge</w:t>
            </w:r>
            <w:r>
              <w:t>. However,</w:t>
            </w:r>
            <w:r w:rsidRPr="00B8442D">
              <w:t xml:space="preserve"> </w:t>
            </w:r>
            <w:r>
              <w:t xml:space="preserve">there is now </w:t>
            </w:r>
            <w:r w:rsidRPr="00B8442D">
              <w:t>a new approach</w:t>
            </w:r>
            <w:r>
              <w:t>, with a</w:t>
            </w:r>
            <w:r w:rsidRPr="00B8442D">
              <w:t xml:space="preserve"> coalition party established three commissions, on transport, building and growth</w:t>
            </w:r>
            <w:r>
              <w:t>, where they work together to</w:t>
            </w:r>
            <w:r w:rsidRPr="00B8442D">
              <w:t xml:space="preserve"> provide </w:t>
            </w:r>
            <w:r>
              <w:t xml:space="preserve">a </w:t>
            </w:r>
            <w:r w:rsidRPr="00B8442D">
              <w:t>solution.</w:t>
            </w:r>
            <w:r>
              <w:t xml:space="preserve"> However, it is diffic</w:t>
            </w:r>
            <w:r w:rsidRPr="00B8442D">
              <w:t xml:space="preserve">ult to find </w:t>
            </w:r>
            <w:r>
              <w:t xml:space="preserve">a </w:t>
            </w:r>
            <w:r w:rsidRPr="00B8442D">
              <w:t xml:space="preserve">compromise, </w:t>
            </w:r>
            <w:r>
              <w:t xml:space="preserve">and </w:t>
            </w:r>
            <w:r w:rsidRPr="00B8442D">
              <w:t>find equal solutions</w:t>
            </w:r>
            <w:r>
              <w:t xml:space="preserve">. </w:t>
            </w:r>
            <w:r w:rsidRPr="00B8442D">
              <w:t>Kristin</w:t>
            </w:r>
            <w:r>
              <w:t>a</w:t>
            </w:r>
            <w:r w:rsidRPr="00B8442D">
              <w:t xml:space="preserve"> is worried that the </w:t>
            </w:r>
            <w:r>
              <w:t xml:space="preserve">influential </w:t>
            </w:r>
            <w:r w:rsidRPr="00B8442D">
              <w:t>coal solution is</w:t>
            </w:r>
            <w:r>
              <w:t xml:space="preserve"> the main</w:t>
            </w:r>
            <w:r w:rsidRPr="00B8442D">
              <w:t xml:space="preserve"> driv</w:t>
            </w:r>
            <w:r>
              <w:t xml:space="preserve">e. Pia is managing the </w:t>
            </w:r>
            <w:r w:rsidRPr="00B8442D">
              <w:t xml:space="preserve">Berlin </w:t>
            </w:r>
            <w:r>
              <w:t>Innovation E</w:t>
            </w:r>
            <w:r w:rsidRPr="00B8442D">
              <w:t xml:space="preserve">nergy </w:t>
            </w:r>
            <w:r>
              <w:t>W</w:t>
            </w:r>
            <w:r w:rsidRPr="00B8442D">
              <w:t xml:space="preserve">eek on </w:t>
            </w:r>
            <w:r>
              <w:t>A</w:t>
            </w:r>
            <w:r w:rsidRPr="00B8442D">
              <w:t xml:space="preserve">pril 9th: </w:t>
            </w:r>
            <w:r>
              <w:t xml:space="preserve">with a focus </w:t>
            </w:r>
            <w:r w:rsidRPr="00B8442D">
              <w:t>on energy transition</w:t>
            </w:r>
            <w:r>
              <w:t>.</w:t>
            </w:r>
            <w:r w:rsidR="00FB5ED6" w:rsidRPr="007C4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8" w:type="dxa"/>
          </w:tcPr>
          <w:p w14:paraId="5E1C2D4D" w14:textId="77777777" w:rsidR="00FB5ED6" w:rsidRDefault="00FB5ED6" w:rsidP="00FB5ED6"/>
        </w:tc>
      </w:tr>
      <w:tr w:rsidR="00FB5ED6" w14:paraId="494F5DCB" w14:textId="77777777" w:rsidTr="00493F43">
        <w:tc>
          <w:tcPr>
            <w:tcW w:w="641" w:type="dxa"/>
          </w:tcPr>
          <w:p w14:paraId="56826431" w14:textId="77777777" w:rsidR="00FB5ED6" w:rsidRDefault="00FB5ED6" w:rsidP="00FB5ED6"/>
        </w:tc>
        <w:tc>
          <w:tcPr>
            <w:tcW w:w="7057" w:type="dxa"/>
          </w:tcPr>
          <w:p w14:paraId="33FBD872" w14:textId="4A9044F4" w:rsidR="00FB5ED6" w:rsidRPr="005A0CC5" w:rsidRDefault="00400189" w:rsidP="00FB5ED6">
            <w:pPr>
              <w:rPr>
                <w:b/>
              </w:rPr>
            </w:pPr>
            <w:hyperlink r:id="rId7" w:history="1">
              <w:r w:rsidR="00FB5ED6" w:rsidRPr="00A84785">
                <w:rPr>
                  <w:rStyle w:val="Hyperlink"/>
                  <w:b/>
                </w:rPr>
                <w:t>Speech by the German Federal Ministry for Economic Affairs and Energy</w:t>
              </w:r>
            </w:hyperlink>
          </w:p>
          <w:p w14:paraId="65071663" w14:textId="77777777" w:rsidR="00FB5ED6" w:rsidRPr="00B8442D" w:rsidRDefault="00FB5ED6" w:rsidP="00FB5ED6">
            <w:pPr>
              <w:rPr>
                <w:i/>
              </w:rPr>
            </w:pPr>
            <w:r w:rsidRPr="00B8442D">
              <w:rPr>
                <w:i/>
              </w:rPr>
              <w:t xml:space="preserve">Georg </w:t>
            </w:r>
            <w:proofErr w:type="spellStart"/>
            <w:r w:rsidRPr="00B8442D">
              <w:rPr>
                <w:i/>
              </w:rPr>
              <w:t>Maue</w:t>
            </w:r>
            <w:proofErr w:type="spellEnd"/>
            <w:r w:rsidRPr="00B8442D">
              <w:rPr>
                <w:i/>
              </w:rPr>
              <w:t>, General Issues of Energy Efficiency</w:t>
            </w:r>
          </w:p>
          <w:p w14:paraId="588303AF" w14:textId="77777777" w:rsidR="00B8442D" w:rsidRDefault="00B8442D" w:rsidP="00FB5ED6"/>
          <w:p w14:paraId="634A7DFF" w14:textId="1956AEBA" w:rsidR="00493F43" w:rsidRDefault="00537376" w:rsidP="00537376">
            <w:pPr>
              <w:tabs>
                <w:tab w:val="left" w:pos="7655"/>
              </w:tabs>
              <w:ind w:right="-96"/>
            </w:pPr>
            <w:r>
              <w:t xml:space="preserve">There is a lot of work to do in Germany to deliver energy efficiency targets of the </w:t>
            </w:r>
            <w:r w:rsidR="00B8442D" w:rsidRPr="00B8442D">
              <w:t xml:space="preserve">Energy </w:t>
            </w:r>
            <w:r>
              <w:t>P</w:t>
            </w:r>
            <w:r w:rsidR="00B8442D" w:rsidRPr="00B8442D">
              <w:t>olicy</w:t>
            </w:r>
            <w:r>
              <w:t xml:space="preserve">, </w:t>
            </w:r>
            <w:r w:rsidR="00B8442D" w:rsidRPr="00B8442D">
              <w:t xml:space="preserve">ENERGIEWNDE. </w:t>
            </w:r>
            <w:r>
              <w:t xml:space="preserve">Far from reaching the targets of EE and RES GHG reductions. The expansion of RES widens the gap between energy consumption and energy production. A large </w:t>
            </w:r>
            <w:r w:rsidRPr="00B8442D">
              <w:t>part o</w:t>
            </w:r>
            <w:r>
              <w:t>f</w:t>
            </w:r>
            <w:r w:rsidRPr="00B8442D">
              <w:t xml:space="preserve"> RES</w:t>
            </w:r>
            <w:r>
              <w:t xml:space="preserve"> is</w:t>
            </w:r>
            <w:r w:rsidRPr="00B8442D">
              <w:t xml:space="preserve"> to implement heating and cooling climate and energy objective:  NECP2050</w:t>
            </w:r>
            <w:r>
              <w:t>.</w:t>
            </w:r>
          </w:p>
        </w:tc>
        <w:tc>
          <w:tcPr>
            <w:tcW w:w="1318" w:type="dxa"/>
          </w:tcPr>
          <w:p w14:paraId="3BD08371" w14:textId="77777777" w:rsidR="00FB5ED6" w:rsidRDefault="00FB5ED6" w:rsidP="00FB5ED6"/>
        </w:tc>
      </w:tr>
      <w:tr w:rsidR="00FB5ED6" w14:paraId="7E9EC581" w14:textId="77777777" w:rsidTr="00493F43">
        <w:tc>
          <w:tcPr>
            <w:tcW w:w="641" w:type="dxa"/>
          </w:tcPr>
          <w:p w14:paraId="04CE0320" w14:textId="77777777" w:rsidR="00FB5ED6" w:rsidRDefault="00FB5ED6" w:rsidP="00FB5ED6"/>
        </w:tc>
        <w:tc>
          <w:tcPr>
            <w:tcW w:w="7057" w:type="dxa"/>
          </w:tcPr>
          <w:p w14:paraId="200467AE" w14:textId="77777777" w:rsidR="00FB5ED6" w:rsidRPr="005A0CC5" w:rsidRDefault="00FB5ED6" w:rsidP="00FB5ED6">
            <w:pPr>
              <w:rPr>
                <w:b/>
              </w:rPr>
            </w:pPr>
            <w:r w:rsidRPr="005A0CC5">
              <w:rPr>
                <w:b/>
              </w:rPr>
              <w:t xml:space="preserve">Opening by </w:t>
            </w:r>
            <w:proofErr w:type="spellStart"/>
            <w:r w:rsidRPr="005A0CC5">
              <w:rPr>
                <w:b/>
              </w:rPr>
              <w:t>EnR</w:t>
            </w:r>
            <w:proofErr w:type="spellEnd"/>
            <w:r w:rsidRPr="005A0CC5">
              <w:rPr>
                <w:b/>
              </w:rPr>
              <w:t xml:space="preserve"> Presidency 2018, ENEA</w:t>
            </w:r>
          </w:p>
          <w:p w14:paraId="6E5A95F3" w14:textId="356C8A5A" w:rsidR="00FB5ED6" w:rsidRDefault="00FB5ED6" w:rsidP="00FB5ED6">
            <w:r w:rsidRPr="00FB5ED6">
              <w:t>Anna Salama</w:t>
            </w:r>
            <w:r>
              <w:rPr>
                <w:rFonts w:ascii="Arial" w:hAnsi="Arial" w:cs="Arial"/>
                <w:color w:val="000000"/>
              </w:rPr>
              <w:t xml:space="preserve">                     </w:t>
            </w:r>
            <w:r w:rsidRPr="007C46C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Pr="007C46C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318" w:type="dxa"/>
          </w:tcPr>
          <w:p w14:paraId="24377561" w14:textId="77777777" w:rsidR="00FB5ED6" w:rsidRDefault="00FB5ED6" w:rsidP="00FB5ED6"/>
        </w:tc>
      </w:tr>
      <w:tr w:rsidR="00FB5ED6" w14:paraId="26862442" w14:textId="77777777" w:rsidTr="00493F43">
        <w:tc>
          <w:tcPr>
            <w:tcW w:w="641" w:type="dxa"/>
          </w:tcPr>
          <w:p w14:paraId="2C0BD9B4" w14:textId="6F07AC2E" w:rsidR="00FB5ED6" w:rsidRPr="00662F2F" w:rsidRDefault="000C34D8" w:rsidP="00FB5ED6">
            <w:pPr>
              <w:rPr>
                <w:b/>
              </w:rPr>
            </w:pPr>
            <w:r w:rsidRPr="00662F2F">
              <w:rPr>
                <w:b/>
              </w:rPr>
              <w:t>2</w:t>
            </w:r>
          </w:p>
        </w:tc>
        <w:tc>
          <w:tcPr>
            <w:tcW w:w="7057" w:type="dxa"/>
          </w:tcPr>
          <w:p w14:paraId="5DABA156" w14:textId="4652B94B" w:rsidR="00FB5ED6" w:rsidRPr="000C34D8" w:rsidRDefault="000C34D8" w:rsidP="00FB5ED6">
            <w:pPr>
              <w:rPr>
                <w:b/>
              </w:rPr>
            </w:pPr>
            <w:r w:rsidRPr="000C34D8">
              <w:rPr>
                <w:b/>
              </w:rPr>
              <w:t xml:space="preserve">Internal information &amp; discussions                                                       </w:t>
            </w:r>
          </w:p>
        </w:tc>
        <w:tc>
          <w:tcPr>
            <w:tcW w:w="1318" w:type="dxa"/>
          </w:tcPr>
          <w:p w14:paraId="1C593D02" w14:textId="77777777" w:rsidR="00FB5ED6" w:rsidRDefault="00FB5ED6" w:rsidP="00FB5ED6"/>
        </w:tc>
      </w:tr>
      <w:tr w:rsidR="00FB5ED6" w14:paraId="79786EDF" w14:textId="77777777" w:rsidTr="00493F43">
        <w:tc>
          <w:tcPr>
            <w:tcW w:w="641" w:type="dxa"/>
          </w:tcPr>
          <w:p w14:paraId="0329CA1A" w14:textId="77777777" w:rsidR="00FB5ED6" w:rsidRDefault="00FB5ED6" w:rsidP="00FB5ED6"/>
        </w:tc>
        <w:tc>
          <w:tcPr>
            <w:tcW w:w="7057" w:type="dxa"/>
          </w:tcPr>
          <w:p w14:paraId="753AFDEA" w14:textId="3E08B4F4" w:rsidR="000C34D8" w:rsidRPr="0038732A" w:rsidRDefault="000C34D8" w:rsidP="0038732A">
            <w:pPr>
              <w:rPr>
                <w:b/>
              </w:rPr>
            </w:pPr>
            <w:r w:rsidRPr="000C34D8">
              <w:rPr>
                <w:b/>
              </w:rPr>
              <w:t xml:space="preserve">Adoption of M64 Agenda </w:t>
            </w:r>
          </w:p>
        </w:tc>
        <w:tc>
          <w:tcPr>
            <w:tcW w:w="1318" w:type="dxa"/>
          </w:tcPr>
          <w:p w14:paraId="732BFC3C" w14:textId="77777777" w:rsidR="00FB5ED6" w:rsidRDefault="00FB5ED6" w:rsidP="00FB5ED6"/>
        </w:tc>
      </w:tr>
      <w:tr w:rsidR="00FB5ED6" w14:paraId="1D652738" w14:textId="77777777" w:rsidTr="00493F43">
        <w:tc>
          <w:tcPr>
            <w:tcW w:w="641" w:type="dxa"/>
          </w:tcPr>
          <w:p w14:paraId="1C426291" w14:textId="77777777" w:rsidR="00FB5ED6" w:rsidRDefault="00FB5ED6" w:rsidP="00FB5ED6"/>
        </w:tc>
        <w:tc>
          <w:tcPr>
            <w:tcW w:w="7057" w:type="dxa"/>
          </w:tcPr>
          <w:p w14:paraId="54293A29" w14:textId="77777777" w:rsidR="0038732A" w:rsidRPr="000C34D8" w:rsidRDefault="0038732A" w:rsidP="0038732A">
            <w:pPr>
              <w:rPr>
                <w:b/>
              </w:rPr>
            </w:pPr>
            <w:r>
              <w:rPr>
                <w:b/>
              </w:rPr>
              <w:t>A</w:t>
            </w:r>
            <w:r w:rsidRPr="000C34D8">
              <w:rPr>
                <w:b/>
              </w:rPr>
              <w:t>doption of M63 Minutes</w:t>
            </w:r>
          </w:p>
          <w:p w14:paraId="39CC0A66" w14:textId="6F12D2AC" w:rsidR="00FB5ED6" w:rsidRDefault="0038732A" w:rsidP="00FB5ED6">
            <w:r>
              <w:t xml:space="preserve">There is a reference to </w:t>
            </w:r>
            <w:proofErr w:type="gramStart"/>
            <w:r>
              <w:t>ADENE</w:t>
            </w:r>
            <w:proofErr w:type="gramEnd"/>
            <w:r>
              <w:t xml:space="preserve"> but it should be ADEME.</w:t>
            </w:r>
          </w:p>
        </w:tc>
        <w:tc>
          <w:tcPr>
            <w:tcW w:w="1318" w:type="dxa"/>
          </w:tcPr>
          <w:p w14:paraId="63B7CDF5" w14:textId="77777777" w:rsidR="00FB5ED6" w:rsidRDefault="00FB5ED6" w:rsidP="00FB5ED6"/>
        </w:tc>
      </w:tr>
      <w:tr w:rsidR="00FB5ED6" w14:paraId="541108B0" w14:textId="77777777" w:rsidTr="00493F43">
        <w:tc>
          <w:tcPr>
            <w:tcW w:w="641" w:type="dxa"/>
          </w:tcPr>
          <w:p w14:paraId="4C9E4272" w14:textId="77777777" w:rsidR="00FB5ED6" w:rsidRDefault="00FB5ED6" w:rsidP="00FB5ED6"/>
        </w:tc>
        <w:tc>
          <w:tcPr>
            <w:tcW w:w="7057" w:type="dxa"/>
          </w:tcPr>
          <w:p w14:paraId="13DF1AC3" w14:textId="70364E41" w:rsidR="0038732A" w:rsidRPr="0038732A" w:rsidRDefault="00B52C82" w:rsidP="00B52C82">
            <w:pPr>
              <w:rPr>
                <w:rFonts w:cstheme="minorHAnsi"/>
              </w:rPr>
            </w:pPr>
            <w:r>
              <w:rPr>
                <w:b/>
              </w:rPr>
              <w:t>N</w:t>
            </w:r>
            <w:r w:rsidR="0038732A" w:rsidRPr="000C34D8">
              <w:rPr>
                <w:b/>
              </w:rPr>
              <w:t xml:space="preserve">ews from </w:t>
            </w:r>
            <w:proofErr w:type="spellStart"/>
            <w:r w:rsidR="0038732A" w:rsidRPr="000C34D8">
              <w:rPr>
                <w:b/>
              </w:rPr>
              <w:t>EnR</w:t>
            </w:r>
            <w:proofErr w:type="spellEnd"/>
            <w:r w:rsidR="0038732A" w:rsidRPr="000C34D8">
              <w:rPr>
                <w:b/>
              </w:rPr>
              <w:t xml:space="preserve"> agencies</w:t>
            </w:r>
            <w:r>
              <w:rPr>
                <w:b/>
              </w:rPr>
              <w:br/>
            </w:r>
          </w:p>
          <w:p w14:paraId="33BF43BE" w14:textId="214460C1" w:rsidR="00B52C82" w:rsidRDefault="00B52C82" w:rsidP="0038732A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52C82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lastRenderedPageBreak/>
              <w:t>Josephine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there are changes in Sweden with a new government and a new Director, she hopes this will not affect the energy policy too much.</w:t>
            </w:r>
          </w:p>
          <w:p w14:paraId="6AB1A4A5" w14:textId="77777777" w:rsidR="00B52C82" w:rsidRDefault="00B52C82" w:rsidP="00B52C82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52C82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Miguel</w:t>
            </w:r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>: there are new teams at ADENE, these include: water efficiency in buildings, innovation group on applied research and new generation of energy certification.</w:t>
            </w:r>
          </w:p>
          <w:p w14:paraId="68969CA6" w14:textId="399FEE3C" w:rsidR="0038732A" w:rsidRPr="0038732A" w:rsidRDefault="0038732A" w:rsidP="0038732A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52C82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M</w:t>
            </w:r>
            <w:r w:rsidR="00B52C82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 xml:space="preserve">altese </w:t>
            </w:r>
            <w:r w:rsidR="00995C4B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 xml:space="preserve">Energy and Water Agency </w:t>
            </w:r>
            <w:r w:rsidR="00B52C82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(EWA) m</w:t>
            </w:r>
            <w:r w:rsidRPr="00B52C82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embership applications</w:t>
            </w:r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: (Report from the evaluation team) and </w:t>
            </w:r>
            <w:hyperlink r:id="rId8" w:history="1">
              <w:r w:rsidRPr="00493F43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</w:rPr>
                <w:t>presentation</w:t>
              </w:r>
            </w:hyperlink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by Manuel </w:t>
            </w:r>
            <w:proofErr w:type="spellStart"/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>Sapiano</w:t>
            </w:r>
            <w:proofErr w:type="spellEnd"/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(EWA Chief Executive Officer)</w:t>
            </w:r>
            <w:r w:rsidR="00493F4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There followed a presentation on the </w:t>
            </w:r>
            <w:hyperlink r:id="rId9" w:history="1">
              <w:r w:rsidR="00493F43" w:rsidRPr="00493F43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</w:rPr>
                <w:t>Evaluation Report</w:t>
              </w:r>
            </w:hyperlink>
            <w:r w:rsidR="00493F4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where the Evaluation Team gave the recommendation that EWA be accepted as a</w:t>
            </w:r>
            <w:r w:rsidR="00B52C82">
              <w:rPr>
                <w:rFonts w:asciiTheme="minorHAnsi" w:eastAsiaTheme="minorHAnsi" w:hAnsiTheme="minorHAnsi" w:cstheme="minorHAnsi"/>
                <w:sz w:val="22"/>
                <w:szCs w:val="22"/>
              </w:rPr>
              <w:t>n</w:t>
            </w:r>
            <w:r w:rsidR="00493F4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93F43">
              <w:rPr>
                <w:rFonts w:asciiTheme="minorHAnsi" w:eastAsiaTheme="minorHAnsi" w:hAnsiTheme="minorHAnsi" w:cstheme="minorHAnsi"/>
                <w:sz w:val="22"/>
                <w:szCs w:val="22"/>
              </w:rPr>
              <w:t>EnR</w:t>
            </w:r>
            <w:proofErr w:type="spellEnd"/>
            <w:r w:rsidR="00493F4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member.</w:t>
            </w:r>
          </w:p>
          <w:p w14:paraId="6E67E49B" w14:textId="2D517A87" w:rsidR="00FB5ED6" w:rsidRDefault="0038732A" w:rsidP="0038732A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</w:pPr>
            <w:r w:rsidRPr="00B52C82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Flemish</w:t>
            </w:r>
            <w:r w:rsidR="00B52C82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 xml:space="preserve"> membership</w:t>
            </w:r>
            <w:r w:rsidRPr="00B52C82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 xml:space="preserve"> application</w:t>
            </w:r>
            <w:r w:rsidR="00B52C82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  <w:t>:</w:t>
            </w:r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B52C82">
              <w:rPr>
                <w:rFonts w:ascii="Calibri" w:hAnsi="Calibri" w:cs="Calibri"/>
                <w:sz w:val="22"/>
                <w:szCs w:val="22"/>
              </w:rPr>
              <w:t xml:space="preserve">The Flemish agency </w:t>
            </w:r>
            <w:proofErr w:type="gramStart"/>
            <w:r w:rsidR="00B52C82">
              <w:rPr>
                <w:rFonts w:ascii="Calibri" w:hAnsi="Calibri" w:cs="Calibri"/>
                <w:sz w:val="22"/>
                <w:szCs w:val="22"/>
              </w:rPr>
              <w:t>will  be</w:t>
            </w:r>
            <w:proofErr w:type="gramEnd"/>
            <w:r w:rsidR="00B52C82">
              <w:rPr>
                <w:rFonts w:ascii="Calibri" w:hAnsi="Calibri" w:cs="Calibri"/>
                <w:sz w:val="22"/>
                <w:szCs w:val="22"/>
              </w:rPr>
              <w:t xml:space="preserve"> told the rules of </w:t>
            </w:r>
            <w:proofErr w:type="spellStart"/>
            <w:r w:rsidR="00B52C82">
              <w:rPr>
                <w:rFonts w:ascii="Calibri" w:hAnsi="Calibri" w:cs="Calibri"/>
                <w:sz w:val="22"/>
                <w:szCs w:val="22"/>
              </w:rPr>
              <w:t>EnR</w:t>
            </w:r>
            <w:proofErr w:type="spellEnd"/>
            <w:r w:rsidR="00B52C82">
              <w:rPr>
                <w:rFonts w:ascii="Calibri" w:hAnsi="Calibri" w:cs="Calibri"/>
                <w:sz w:val="22"/>
                <w:szCs w:val="22"/>
              </w:rPr>
              <w:t xml:space="preserve"> and will be asked to coordinate with the other two agencies in Belgium to agree how they will be represented at </w:t>
            </w:r>
            <w:proofErr w:type="spellStart"/>
            <w:r w:rsidR="00B52C82">
              <w:rPr>
                <w:rFonts w:ascii="Calibri" w:hAnsi="Calibri" w:cs="Calibri"/>
                <w:sz w:val="22"/>
                <w:szCs w:val="22"/>
              </w:rPr>
              <w:t>EnR</w:t>
            </w:r>
            <w:proofErr w:type="spellEnd"/>
            <w:r w:rsidR="00B52C8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18" w:type="dxa"/>
          </w:tcPr>
          <w:p w14:paraId="6BD4D17B" w14:textId="77777777" w:rsidR="00FB5ED6" w:rsidRDefault="00FB5ED6" w:rsidP="00FB5ED6"/>
          <w:p w14:paraId="5722077C" w14:textId="77777777" w:rsidR="00B52C82" w:rsidRDefault="00B52C82" w:rsidP="00FB5ED6"/>
          <w:p w14:paraId="62D5DF5E" w14:textId="77777777" w:rsidR="00B52C82" w:rsidRDefault="00B52C82" w:rsidP="00FB5ED6"/>
          <w:p w14:paraId="553DF77C" w14:textId="77777777" w:rsidR="00B52C82" w:rsidRDefault="00B52C82" w:rsidP="00FB5ED6"/>
          <w:p w14:paraId="178AC8A5" w14:textId="77777777" w:rsidR="00B52C82" w:rsidRDefault="00B52C82" w:rsidP="00FB5ED6"/>
          <w:p w14:paraId="331D3208" w14:textId="77777777" w:rsidR="00B52C82" w:rsidRDefault="00B52C82" w:rsidP="00FB5ED6"/>
          <w:p w14:paraId="000ACFC8" w14:textId="77777777" w:rsidR="00B52C82" w:rsidRDefault="00B52C82" w:rsidP="00FB5ED6"/>
          <w:p w14:paraId="445E5907" w14:textId="77777777" w:rsidR="00B52C82" w:rsidRDefault="00B52C82" w:rsidP="00FB5ED6"/>
          <w:p w14:paraId="3D1D6460" w14:textId="77777777" w:rsidR="00B52C82" w:rsidRDefault="00B52C82" w:rsidP="00FB5ED6"/>
          <w:p w14:paraId="4A7D86E9" w14:textId="77777777" w:rsidR="00B52C82" w:rsidRDefault="00B52C82" w:rsidP="00FB5ED6"/>
          <w:p w14:paraId="34E59288" w14:textId="77777777" w:rsidR="00B52C82" w:rsidRDefault="00B52C82" w:rsidP="00FB5ED6"/>
          <w:p w14:paraId="5508F52F" w14:textId="77777777" w:rsidR="00B52C82" w:rsidRDefault="00B52C82" w:rsidP="00FB5ED6"/>
          <w:p w14:paraId="22B9FC4E" w14:textId="29A360A8" w:rsidR="00B52C82" w:rsidRDefault="00B52C82" w:rsidP="00FB5ED6">
            <w:r>
              <w:t>ENEA</w:t>
            </w:r>
          </w:p>
        </w:tc>
      </w:tr>
      <w:tr w:rsidR="00FB5ED6" w14:paraId="0D3C1605" w14:textId="77777777" w:rsidTr="00493F43">
        <w:tc>
          <w:tcPr>
            <w:tcW w:w="641" w:type="dxa"/>
          </w:tcPr>
          <w:p w14:paraId="2C87254D" w14:textId="77777777" w:rsidR="00FB5ED6" w:rsidRDefault="00FB5ED6" w:rsidP="00FB5ED6"/>
        </w:tc>
        <w:tc>
          <w:tcPr>
            <w:tcW w:w="7057" w:type="dxa"/>
          </w:tcPr>
          <w:p w14:paraId="7D77BF1C" w14:textId="77777777" w:rsidR="00FB5ED6" w:rsidRPr="0038732A" w:rsidRDefault="0038732A" w:rsidP="0038732A">
            <w:pPr>
              <w:spacing w:line="360" w:lineRule="auto"/>
              <w:ind w:right="-96"/>
              <w:rPr>
                <w:rFonts w:cstheme="minorHAnsi"/>
                <w:b/>
              </w:rPr>
            </w:pPr>
            <w:r w:rsidRPr="0038732A">
              <w:rPr>
                <w:rFonts w:cstheme="minorHAnsi"/>
                <w:b/>
              </w:rPr>
              <w:t xml:space="preserve">Updates on events with </w:t>
            </w:r>
            <w:proofErr w:type="spellStart"/>
            <w:r w:rsidRPr="0038732A">
              <w:rPr>
                <w:rFonts w:cstheme="minorHAnsi"/>
                <w:b/>
              </w:rPr>
              <w:t>EnR</w:t>
            </w:r>
            <w:proofErr w:type="spellEnd"/>
            <w:r w:rsidRPr="0038732A">
              <w:rPr>
                <w:rFonts w:cstheme="minorHAnsi"/>
                <w:b/>
              </w:rPr>
              <w:t xml:space="preserve"> involvement  </w:t>
            </w:r>
          </w:p>
          <w:p w14:paraId="213F5222" w14:textId="15B0299A" w:rsidR="0038732A" w:rsidRPr="00B52C82" w:rsidRDefault="0038732A" w:rsidP="00B52C82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r w:rsidRPr="00B52C82">
              <w:rPr>
                <w:rFonts w:asciiTheme="minorHAnsi" w:hAnsiTheme="minorHAnsi" w:cstheme="minorHAnsi"/>
                <w:sz w:val="22"/>
                <w:szCs w:val="22"/>
              </w:rPr>
              <w:t>Updates given about SEI Advisory Group, Behave 2020</w:t>
            </w:r>
            <w:r w:rsidR="00B52C82" w:rsidRPr="00B52C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C76B4F" w14:textId="02E7BB04" w:rsidR="00B52C82" w:rsidRPr="00B52C82" w:rsidRDefault="00B52C82" w:rsidP="00B52C82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proofErr w:type="spellStart"/>
            <w:r w:rsidRPr="00B52C82">
              <w:rPr>
                <w:rFonts w:ascii="Calibri" w:hAnsi="Calibri" w:cs="Calibri"/>
                <w:sz w:val="22"/>
                <w:szCs w:val="22"/>
                <w:lang w:eastAsia="en-GB"/>
              </w:rPr>
              <w:t>SolarPower</w:t>
            </w:r>
            <w:proofErr w:type="spellEnd"/>
            <w:r w:rsidRPr="00B52C8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Europe Summit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–</w:t>
            </w:r>
            <w:r w:rsidRPr="00B52C8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would like </w:t>
            </w:r>
            <w:proofErr w:type="spellStart"/>
            <w:r w:rsidRPr="00B52C82">
              <w:rPr>
                <w:rFonts w:ascii="Calibri" w:hAnsi="Calibri" w:cs="Calibri"/>
                <w:sz w:val="22"/>
                <w:szCs w:val="22"/>
                <w:lang w:eastAsia="en-GB"/>
              </w:rPr>
              <w:t>EnR</w:t>
            </w:r>
            <w:proofErr w:type="spellEnd"/>
            <w:r w:rsidRPr="00B52C82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to promote this summit on the 6/7 March</w:t>
            </w:r>
          </w:p>
          <w:p w14:paraId="546C9A41" w14:textId="39CA7A25" w:rsidR="00B52C82" w:rsidRPr="00B52C82" w:rsidRDefault="00B52C82" w:rsidP="00B52C82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They w</w:t>
            </w:r>
            <w:r w:rsidRPr="00B52C82">
              <w:rPr>
                <w:rFonts w:ascii="Calibri" w:eastAsia="Times New Roman" w:hAnsi="Calibri" w:cs="Calibri"/>
                <w:lang w:eastAsia="en-GB"/>
              </w:rPr>
              <w:t xml:space="preserve">ould like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EnR</w:t>
            </w:r>
            <w:proofErr w:type="spellEnd"/>
            <w:r w:rsidRPr="00B52C82">
              <w:rPr>
                <w:rFonts w:ascii="Calibri" w:eastAsia="Times New Roman" w:hAnsi="Calibri" w:cs="Calibri"/>
                <w:lang w:eastAsia="en-GB"/>
              </w:rPr>
              <w:t xml:space="preserve"> to promote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the event </w:t>
            </w:r>
            <w:r w:rsidRPr="00B52C82">
              <w:rPr>
                <w:rFonts w:ascii="Calibri" w:eastAsia="Times New Roman" w:hAnsi="Calibri" w:cs="Calibri"/>
                <w:lang w:eastAsia="en-GB"/>
              </w:rPr>
              <w:t xml:space="preserve">on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EnR</w:t>
            </w:r>
            <w:proofErr w:type="spellEnd"/>
            <w:r w:rsidRPr="00B52C82">
              <w:rPr>
                <w:rFonts w:ascii="Calibri" w:eastAsia="Times New Roman" w:hAnsi="Calibri" w:cs="Calibri"/>
                <w:lang w:eastAsia="en-GB"/>
              </w:rPr>
              <w:t xml:space="preserve"> website, social media (don't have social media),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they will</w:t>
            </w:r>
            <w:r w:rsidRPr="00B52C82">
              <w:rPr>
                <w:rFonts w:ascii="Calibri" w:eastAsia="Times New Roman" w:hAnsi="Calibri" w:cs="Calibri"/>
                <w:lang w:eastAsia="en-GB"/>
              </w:rPr>
              <w:t xml:space="preserve"> list </w:t>
            </w:r>
            <w:proofErr w:type="spellStart"/>
            <w:r w:rsidRPr="00B52C82">
              <w:rPr>
                <w:rFonts w:ascii="Calibri" w:eastAsia="Times New Roman" w:hAnsi="Calibri" w:cs="Calibri"/>
                <w:lang w:eastAsia="en-GB"/>
              </w:rPr>
              <w:t>EnR</w:t>
            </w:r>
            <w:proofErr w:type="spellEnd"/>
            <w:r w:rsidRPr="00B52C82">
              <w:rPr>
                <w:rFonts w:ascii="Calibri" w:eastAsia="Times New Roman" w:hAnsi="Calibri" w:cs="Calibri"/>
                <w:lang w:eastAsia="en-GB"/>
              </w:rPr>
              <w:t xml:space="preserve"> logo on their marketing material</w:t>
            </w:r>
          </w:p>
          <w:p w14:paraId="57AEBAE3" w14:textId="57C77843" w:rsidR="00B52C82" w:rsidRPr="00B52C82" w:rsidRDefault="00B52C82" w:rsidP="00B52C82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B52C82">
              <w:rPr>
                <w:rFonts w:ascii="Calibri" w:eastAsia="Times New Roman" w:hAnsi="Calibri" w:cs="Calibri"/>
                <w:lang w:eastAsia="en-GB"/>
              </w:rPr>
              <w:t xml:space="preserve">EST to sign the supporter agreement </w:t>
            </w:r>
          </w:p>
        </w:tc>
        <w:tc>
          <w:tcPr>
            <w:tcW w:w="1318" w:type="dxa"/>
          </w:tcPr>
          <w:p w14:paraId="6ACEA64A" w14:textId="77777777" w:rsidR="00FB5ED6" w:rsidRDefault="00FB5ED6" w:rsidP="00FB5ED6"/>
          <w:p w14:paraId="4A318F88" w14:textId="77777777" w:rsidR="00B52C82" w:rsidRDefault="00B52C82" w:rsidP="00FB5ED6"/>
          <w:p w14:paraId="7071F582" w14:textId="77777777" w:rsidR="00B52C82" w:rsidRDefault="00B52C82" w:rsidP="00FB5ED6"/>
          <w:p w14:paraId="7DD141C7" w14:textId="77777777" w:rsidR="00B52C82" w:rsidRDefault="00B52C82" w:rsidP="00FB5ED6"/>
          <w:p w14:paraId="18BBDD20" w14:textId="77777777" w:rsidR="00B52C82" w:rsidRDefault="00B52C82" w:rsidP="00FB5ED6"/>
          <w:p w14:paraId="0E6A4B85" w14:textId="27BCBBEE" w:rsidR="00B52C82" w:rsidRDefault="00B52C82" w:rsidP="00FB5ED6"/>
          <w:p w14:paraId="0E824ED0" w14:textId="77777777" w:rsidR="00B52C82" w:rsidRDefault="00B52C82" w:rsidP="00FB5ED6"/>
          <w:p w14:paraId="0E7D54E3" w14:textId="77777777" w:rsidR="00B52C82" w:rsidRDefault="00B52C82" w:rsidP="00FB5ED6"/>
          <w:p w14:paraId="65446DFB" w14:textId="24E407EF" w:rsidR="00B52C82" w:rsidRDefault="00B52C82" w:rsidP="00FB5ED6">
            <w:r>
              <w:t>EST</w:t>
            </w:r>
          </w:p>
        </w:tc>
      </w:tr>
      <w:tr w:rsidR="00FB5ED6" w14:paraId="3ED31B1E" w14:textId="77777777" w:rsidTr="00493F43">
        <w:tc>
          <w:tcPr>
            <w:tcW w:w="641" w:type="dxa"/>
          </w:tcPr>
          <w:p w14:paraId="55257D81" w14:textId="77777777" w:rsidR="00FB5ED6" w:rsidRDefault="00FB5ED6" w:rsidP="00FB5ED6"/>
        </w:tc>
        <w:tc>
          <w:tcPr>
            <w:tcW w:w="7057" w:type="dxa"/>
          </w:tcPr>
          <w:p w14:paraId="0DAD6B34" w14:textId="77777777" w:rsidR="00FB5ED6" w:rsidRPr="0038732A" w:rsidRDefault="0038732A" w:rsidP="0038732A">
            <w:pPr>
              <w:spacing w:line="360" w:lineRule="auto"/>
              <w:ind w:right="-96"/>
              <w:rPr>
                <w:rFonts w:cstheme="minorHAnsi"/>
                <w:b/>
              </w:rPr>
            </w:pPr>
            <w:r w:rsidRPr="0038732A">
              <w:rPr>
                <w:rFonts w:cstheme="minorHAnsi"/>
                <w:b/>
              </w:rPr>
              <w:t>Updates by Presidency</w:t>
            </w:r>
          </w:p>
          <w:p w14:paraId="10508229" w14:textId="5A19A509" w:rsidR="0038732A" w:rsidRDefault="00AC1725" w:rsidP="0038732A">
            <w:pPr>
              <w:spacing w:line="360" w:lineRule="auto"/>
              <w:ind w:right="-96"/>
              <w:rPr>
                <w:rFonts w:cstheme="minorHAnsi"/>
              </w:rPr>
            </w:pPr>
            <w:r>
              <w:rPr>
                <w:rFonts w:cstheme="minorHAnsi"/>
              </w:rPr>
              <w:t>Eight</w:t>
            </w:r>
            <w:bookmarkStart w:id="0" w:name="_GoBack"/>
            <w:r w:rsidR="0038732A" w:rsidRPr="003873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letters </w:t>
            </w:r>
            <w:r w:rsidR="0038732A" w:rsidRPr="0038732A">
              <w:rPr>
                <w:rFonts w:cstheme="minorHAnsi"/>
              </w:rPr>
              <w:t>o</w:t>
            </w:r>
            <w:r>
              <w:rPr>
                <w:rFonts w:cstheme="minorHAnsi"/>
              </w:rPr>
              <w:t>f support were</w:t>
            </w:r>
            <w:r w:rsidR="0038732A" w:rsidRPr="0038732A">
              <w:rPr>
                <w:rFonts w:cstheme="minorHAnsi"/>
              </w:rPr>
              <w:t xml:space="preserve"> issued in 2018/2019</w:t>
            </w:r>
            <w:bookmarkEnd w:id="0"/>
          </w:p>
          <w:p w14:paraId="43A14C22" w14:textId="77777777" w:rsidR="0038732A" w:rsidRDefault="0038732A" w:rsidP="0038732A">
            <w:pPr>
              <w:tabs>
                <w:tab w:val="left" w:pos="7655"/>
              </w:tabs>
              <w:ind w:right="-96"/>
              <w:rPr>
                <w:rFonts w:cstheme="minorHAnsi"/>
              </w:rPr>
            </w:pPr>
            <w:r w:rsidRPr="0038732A">
              <w:rPr>
                <w:rFonts w:cstheme="minorHAnsi"/>
              </w:rPr>
              <w:t>Meeting hosts / venues:</w:t>
            </w:r>
          </w:p>
          <w:p w14:paraId="4D857C75" w14:textId="3F5CAA32" w:rsidR="0038732A" w:rsidRPr="0038732A" w:rsidRDefault="0038732A" w:rsidP="0038732A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>Regular Meeting ADENE in Lisbon on 26-27 June</w:t>
            </w:r>
          </w:p>
          <w:p w14:paraId="76400479" w14:textId="77777777" w:rsidR="0038732A" w:rsidRPr="0038732A" w:rsidRDefault="0038732A" w:rsidP="0038732A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</w:pPr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>TGM Brussels 1 or 2 October</w:t>
            </w:r>
          </w:p>
          <w:p w14:paraId="3239905C" w14:textId="77777777" w:rsidR="0038732A" w:rsidRDefault="0038732A" w:rsidP="0038732A">
            <w:pPr>
              <w:tabs>
                <w:tab w:val="left" w:pos="7655"/>
              </w:tabs>
              <w:ind w:right="-96"/>
            </w:pPr>
          </w:p>
          <w:p w14:paraId="1A672568" w14:textId="77777777" w:rsidR="00AC1725" w:rsidRDefault="0038732A" w:rsidP="0038732A">
            <w:pPr>
              <w:tabs>
                <w:tab w:val="left" w:pos="7655"/>
              </w:tabs>
              <w:ind w:right="-96"/>
            </w:pPr>
            <w:r>
              <w:t xml:space="preserve">Presidencies </w:t>
            </w:r>
          </w:p>
          <w:p w14:paraId="47025DF5" w14:textId="77777777" w:rsidR="0038732A" w:rsidRPr="00AC1725" w:rsidRDefault="0038732A" w:rsidP="00AC1725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r w:rsidRPr="00AC1725">
              <w:rPr>
                <w:rFonts w:asciiTheme="minorHAnsi" w:hAnsiTheme="minorHAnsi" w:cstheme="minorHAnsi"/>
                <w:sz w:val="22"/>
                <w:szCs w:val="22"/>
              </w:rPr>
              <w:t>2019/20</w:t>
            </w:r>
            <w:r w:rsidR="00AC1725" w:rsidRPr="00AC1725">
              <w:rPr>
                <w:rFonts w:asciiTheme="minorHAnsi" w:hAnsiTheme="minorHAnsi" w:cstheme="minorHAnsi"/>
                <w:sz w:val="22"/>
                <w:szCs w:val="22"/>
              </w:rPr>
              <w:t xml:space="preserve"> – Energy Saving Trust</w:t>
            </w:r>
          </w:p>
          <w:p w14:paraId="1A4CA6D7" w14:textId="1A361449" w:rsidR="00AC1725" w:rsidRPr="0038732A" w:rsidRDefault="00AC1725" w:rsidP="00AC1725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</w:pPr>
            <w:r w:rsidRPr="00AC1725">
              <w:rPr>
                <w:rFonts w:asciiTheme="minorHAnsi" w:hAnsiTheme="minorHAnsi" w:cstheme="minorHAnsi"/>
                <w:sz w:val="22"/>
                <w:szCs w:val="22"/>
              </w:rPr>
              <w:t>2020/21 - TBC</w:t>
            </w:r>
          </w:p>
        </w:tc>
        <w:tc>
          <w:tcPr>
            <w:tcW w:w="1318" w:type="dxa"/>
          </w:tcPr>
          <w:p w14:paraId="09A94BF1" w14:textId="77777777" w:rsidR="00FB5ED6" w:rsidRDefault="00FB5ED6" w:rsidP="00FB5ED6"/>
        </w:tc>
      </w:tr>
      <w:tr w:rsidR="00FB5ED6" w14:paraId="5773B806" w14:textId="77777777" w:rsidTr="00493F43">
        <w:tc>
          <w:tcPr>
            <w:tcW w:w="641" w:type="dxa"/>
          </w:tcPr>
          <w:p w14:paraId="43C41B13" w14:textId="3D88FB12" w:rsidR="00FB5ED6" w:rsidRPr="00493F43" w:rsidRDefault="0038732A" w:rsidP="00FB5ED6">
            <w:pPr>
              <w:rPr>
                <w:b/>
              </w:rPr>
            </w:pPr>
            <w:r w:rsidRPr="00493F43">
              <w:rPr>
                <w:b/>
              </w:rPr>
              <w:t xml:space="preserve">3 </w:t>
            </w:r>
          </w:p>
        </w:tc>
        <w:tc>
          <w:tcPr>
            <w:tcW w:w="7057" w:type="dxa"/>
          </w:tcPr>
          <w:p w14:paraId="554F8530" w14:textId="4B14BE9A" w:rsidR="00FB5ED6" w:rsidRPr="00493F43" w:rsidRDefault="0038732A" w:rsidP="00FB5ED6">
            <w:pPr>
              <w:rPr>
                <w:b/>
              </w:rPr>
            </w:pPr>
            <w:r w:rsidRPr="00493F43">
              <w:rPr>
                <w:b/>
              </w:rPr>
              <w:t>Working Groups</w:t>
            </w:r>
          </w:p>
        </w:tc>
        <w:tc>
          <w:tcPr>
            <w:tcW w:w="1318" w:type="dxa"/>
          </w:tcPr>
          <w:p w14:paraId="66B561BF" w14:textId="77777777" w:rsidR="00FB5ED6" w:rsidRDefault="00FB5ED6" w:rsidP="00FB5ED6"/>
        </w:tc>
      </w:tr>
      <w:tr w:rsidR="00FB5ED6" w14:paraId="07719AE9" w14:textId="77777777" w:rsidTr="00493F43">
        <w:tc>
          <w:tcPr>
            <w:tcW w:w="641" w:type="dxa"/>
          </w:tcPr>
          <w:p w14:paraId="0D679DA4" w14:textId="77777777" w:rsidR="00FB5ED6" w:rsidRDefault="00FB5ED6" w:rsidP="00FB5ED6"/>
        </w:tc>
        <w:tc>
          <w:tcPr>
            <w:tcW w:w="7057" w:type="dxa"/>
          </w:tcPr>
          <w:p w14:paraId="5B175FCA" w14:textId="2A4AF516" w:rsidR="00FB5ED6" w:rsidRDefault="00493F43" w:rsidP="00FB5ED6">
            <w:r w:rsidRPr="00493F43">
              <w:rPr>
                <w:b/>
              </w:rPr>
              <w:t>Thinking Group Meeting</w:t>
            </w:r>
            <w:r>
              <w:t xml:space="preserve"> </w:t>
            </w:r>
            <w:r>
              <w:br/>
              <w:t xml:space="preserve">SEDA gave a </w:t>
            </w:r>
            <w:hyperlink r:id="rId10" w:history="1">
              <w:r w:rsidRPr="00493F43">
                <w:rPr>
                  <w:rStyle w:val="Hyperlink"/>
                </w:rPr>
                <w:t>presentation</w:t>
              </w:r>
            </w:hyperlink>
            <w:r>
              <w:t xml:space="preserve"> summarising the meeting and site visit. Eight </w:t>
            </w:r>
            <w:proofErr w:type="spellStart"/>
            <w:r>
              <w:t>EnR</w:t>
            </w:r>
            <w:proofErr w:type="spellEnd"/>
            <w:r>
              <w:t xml:space="preserve"> members attended. The meeting covered smart financing, energy poverty, </w:t>
            </w:r>
            <w:r w:rsidR="00AC1725">
              <w:t>and included a visit to the Centre for Energy Analysis, Technical University of Sofia.</w:t>
            </w:r>
          </w:p>
        </w:tc>
        <w:tc>
          <w:tcPr>
            <w:tcW w:w="1318" w:type="dxa"/>
          </w:tcPr>
          <w:p w14:paraId="2AC29F9A" w14:textId="77777777" w:rsidR="00FB5ED6" w:rsidRDefault="00FB5ED6" w:rsidP="00FB5ED6"/>
        </w:tc>
      </w:tr>
      <w:tr w:rsidR="00FB5ED6" w14:paraId="3870DA0D" w14:textId="77777777" w:rsidTr="00493F43">
        <w:tc>
          <w:tcPr>
            <w:tcW w:w="641" w:type="dxa"/>
          </w:tcPr>
          <w:p w14:paraId="2C508675" w14:textId="77777777" w:rsidR="00FB5ED6" w:rsidRDefault="00FB5ED6" w:rsidP="00FB5ED6"/>
        </w:tc>
        <w:tc>
          <w:tcPr>
            <w:tcW w:w="7057" w:type="dxa"/>
          </w:tcPr>
          <w:p w14:paraId="2842F79E" w14:textId="16BB97D8" w:rsidR="00FB5ED6" w:rsidRDefault="00493F43" w:rsidP="00FB5ED6">
            <w:r w:rsidRPr="00493F43">
              <w:rPr>
                <w:b/>
              </w:rPr>
              <w:t>Report &amp; proposals</w:t>
            </w:r>
            <w:r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</w:rPr>
              <w:br/>
            </w:r>
            <w:r w:rsidRPr="00493F43">
              <w:t xml:space="preserve">ADENE gave a </w:t>
            </w:r>
            <w:hyperlink r:id="rId11" w:history="1">
              <w:r w:rsidRPr="00493F43">
                <w:rPr>
                  <w:rStyle w:val="Hyperlink"/>
                </w:rPr>
                <w:t>presentation</w:t>
              </w:r>
            </w:hyperlink>
            <w:r w:rsidRPr="00493F43">
              <w:t xml:space="preserve"> on the European Energy Observatory</w:t>
            </w:r>
            <w:r>
              <w:t>. The aim is that the Observatory will be a o</w:t>
            </w:r>
            <w:r w:rsidRPr="00493F43">
              <w:t>ne-stop-shop for European-wide energy related information</w:t>
            </w:r>
            <w:r>
              <w:t>, providing p</w:t>
            </w:r>
            <w:r w:rsidRPr="00493F43">
              <w:t>recise, comprehensive and multi-level energy information (European, national and regional)</w:t>
            </w:r>
            <w:r>
              <w:t xml:space="preserve"> with a f</w:t>
            </w:r>
            <w:r w:rsidRPr="00493F43">
              <w:t>ocus on the user experience available to the citizen and the professional</w:t>
            </w:r>
            <w:r>
              <w:t>.</w:t>
            </w:r>
          </w:p>
        </w:tc>
        <w:tc>
          <w:tcPr>
            <w:tcW w:w="1318" w:type="dxa"/>
          </w:tcPr>
          <w:p w14:paraId="2C223C52" w14:textId="77777777" w:rsidR="00FB5ED6" w:rsidRDefault="00FB5ED6" w:rsidP="00FB5ED6"/>
        </w:tc>
      </w:tr>
      <w:tr w:rsidR="00FB5ED6" w14:paraId="0C9F6DDF" w14:textId="77777777" w:rsidTr="00493F43">
        <w:tc>
          <w:tcPr>
            <w:tcW w:w="641" w:type="dxa"/>
          </w:tcPr>
          <w:p w14:paraId="5C69EA68" w14:textId="77777777" w:rsidR="00FB5ED6" w:rsidRDefault="00FB5ED6" w:rsidP="00FB5ED6"/>
        </w:tc>
        <w:tc>
          <w:tcPr>
            <w:tcW w:w="7057" w:type="dxa"/>
          </w:tcPr>
          <w:p w14:paraId="19E49C23" w14:textId="2CFE77F0" w:rsidR="00FB5ED6" w:rsidRPr="00AC1725" w:rsidRDefault="00AC1725" w:rsidP="00FB5ED6">
            <w:pPr>
              <w:rPr>
                <w:rFonts w:cstheme="minorHAnsi"/>
                <w:b/>
                <w:color w:val="404040"/>
                <w:shd w:val="clear" w:color="auto" w:fill="FFFFFF"/>
              </w:rPr>
            </w:pPr>
            <w:r w:rsidRPr="00AC1725">
              <w:rPr>
                <w:rFonts w:cstheme="minorHAnsi"/>
                <w:b/>
                <w:color w:val="404040"/>
                <w:shd w:val="clear" w:color="auto" w:fill="FFFFFF"/>
              </w:rPr>
              <w:t>WG Chairs &amp; Troika Meeting (12 February 2019)</w:t>
            </w:r>
          </w:p>
          <w:p w14:paraId="66526EC5" w14:textId="6F17097E" w:rsidR="00AC1725" w:rsidRDefault="00AC1725" w:rsidP="00AC1725">
            <w:r>
              <w:t xml:space="preserve">A presentation was given on the </w:t>
            </w:r>
            <w:hyperlink r:id="rId12" w:history="1">
              <w:r w:rsidRPr="00AC1725">
                <w:rPr>
                  <w:rStyle w:val="Hyperlink"/>
                </w:rPr>
                <w:t>Results of the Industry WG</w:t>
              </w:r>
            </w:hyperlink>
            <w:r>
              <w:t xml:space="preserve">. The report was authored by Motiva, RVO and CRES. There is still appetite to have the Industry WG but have not volunteers for a lead yet. However, there are good ideas for joint projects, including creating an industrial network with benchmark information, exploring </w:t>
            </w:r>
            <w:r w:rsidRPr="00AC1725">
              <w:t>Energy Storage Systems ESS in industries</w:t>
            </w:r>
            <w:r>
              <w:t>.</w:t>
            </w:r>
            <w:r w:rsidR="00A84785">
              <w:t xml:space="preserve"> </w:t>
            </w:r>
            <w:r w:rsidR="00A84785">
              <w:lastRenderedPageBreak/>
              <w:t>Recommendation were given how information exchange could be improved in the WG.</w:t>
            </w:r>
          </w:p>
        </w:tc>
        <w:tc>
          <w:tcPr>
            <w:tcW w:w="1318" w:type="dxa"/>
          </w:tcPr>
          <w:p w14:paraId="0370775A" w14:textId="77777777" w:rsidR="00FB5ED6" w:rsidRDefault="00FB5ED6" w:rsidP="00FB5ED6"/>
        </w:tc>
      </w:tr>
      <w:tr w:rsidR="00FB5ED6" w14:paraId="1CB7CAE8" w14:textId="77777777" w:rsidTr="00493F43">
        <w:tc>
          <w:tcPr>
            <w:tcW w:w="641" w:type="dxa"/>
          </w:tcPr>
          <w:p w14:paraId="5B46C400" w14:textId="77777777" w:rsidR="00FB5ED6" w:rsidRDefault="00FB5ED6" w:rsidP="00FB5ED6"/>
        </w:tc>
        <w:tc>
          <w:tcPr>
            <w:tcW w:w="7057" w:type="dxa"/>
          </w:tcPr>
          <w:p w14:paraId="2022646D" w14:textId="672595CD" w:rsidR="00FB5ED6" w:rsidRPr="00A84785" w:rsidRDefault="00A84785" w:rsidP="00FB5ED6">
            <w:pPr>
              <w:rPr>
                <w:b/>
              </w:rPr>
            </w:pPr>
            <w:r w:rsidRPr="00A84785">
              <w:rPr>
                <w:b/>
              </w:rPr>
              <w:t>WG update presentations:</w:t>
            </w:r>
          </w:p>
          <w:p w14:paraId="2C782053" w14:textId="77648A96" w:rsidR="00A84785" w:rsidRPr="00A84785" w:rsidRDefault="00400189" w:rsidP="00A84785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Style w:val="Hyperlink"/>
              </w:rPr>
            </w:pPr>
            <w:hyperlink r:id="rId13" w:history="1">
              <w:r w:rsidR="00A84785" w:rsidRPr="00A84785">
                <w:rPr>
                  <w:rStyle w:val="Hyperlink"/>
                </w:rPr>
                <w:t>Buildings</w:t>
              </w:r>
            </w:hyperlink>
            <w:r w:rsidR="00A84785" w:rsidRPr="00A84785">
              <w:rPr>
                <w:rStyle w:val="Hyperlink"/>
              </w:rPr>
              <w:t xml:space="preserve"> </w:t>
            </w:r>
          </w:p>
          <w:p w14:paraId="177CD949" w14:textId="77777777" w:rsidR="00A84785" w:rsidRPr="00A84785" w:rsidRDefault="00400189" w:rsidP="00A84785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Style w:val="Hyperlink"/>
              </w:rPr>
            </w:pPr>
            <w:hyperlink r:id="rId14" w:history="1">
              <w:r w:rsidR="00A84785" w:rsidRPr="00A84785">
                <w:rPr>
                  <w:rStyle w:val="Hyperlink"/>
                </w:rPr>
                <w:t>Energy Efficiency</w:t>
              </w:r>
            </w:hyperlink>
          </w:p>
          <w:p w14:paraId="2BA883C9" w14:textId="77777777" w:rsidR="00A84785" w:rsidRPr="00A84785" w:rsidRDefault="00400189" w:rsidP="00A84785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Style w:val="Hyperlink"/>
              </w:rPr>
            </w:pPr>
            <w:hyperlink r:id="rId15" w:history="1">
              <w:r w:rsidR="00A84785" w:rsidRPr="00A84785">
                <w:rPr>
                  <w:rStyle w:val="Hyperlink"/>
                </w:rPr>
                <w:t>Transport</w:t>
              </w:r>
            </w:hyperlink>
          </w:p>
          <w:p w14:paraId="7AD48DAF" w14:textId="77777777" w:rsidR="00A84785" w:rsidRPr="00A84785" w:rsidRDefault="00400189" w:rsidP="00A84785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Style w:val="Hyperlink"/>
              </w:rPr>
            </w:pPr>
            <w:hyperlink r:id="rId16" w:history="1">
              <w:r w:rsidR="00A84785" w:rsidRPr="00A84785">
                <w:rPr>
                  <w:rStyle w:val="Hyperlink"/>
                </w:rPr>
                <w:t>Monitoring</w:t>
              </w:r>
            </w:hyperlink>
          </w:p>
          <w:p w14:paraId="474C6058" w14:textId="77777777" w:rsidR="00A84785" w:rsidRPr="00A84785" w:rsidRDefault="00400189" w:rsidP="00A84785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Style w:val="Hyperlink"/>
              </w:rPr>
            </w:pPr>
            <w:hyperlink r:id="rId17" w:history="1">
              <w:r w:rsidR="00A84785" w:rsidRPr="00A84785">
                <w:rPr>
                  <w:rStyle w:val="Hyperlink"/>
                </w:rPr>
                <w:t>Behaviour Change</w:t>
              </w:r>
            </w:hyperlink>
          </w:p>
          <w:p w14:paraId="44DA127C" w14:textId="61115C6C" w:rsidR="00A84785" w:rsidRPr="00A84785" w:rsidRDefault="00400189" w:rsidP="00FB5ED6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color w:val="0563C1" w:themeColor="hyperlink"/>
                <w:u w:val="single"/>
              </w:rPr>
            </w:pPr>
            <w:hyperlink r:id="rId18" w:history="1">
              <w:r w:rsidR="00A84785" w:rsidRPr="00A84785">
                <w:rPr>
                  <w:rStyle w:val="Hyperlink"/>
                </w:rPr>
                <w:t xml:space="preserve">Labelling &amp; </w:t>
              </w:r>
              <w:proofErr w:type="spellStart"/>
              <w:r w:rsidR="00A84785" w:rsidRPr="00A84785">
                <w:rPr>
                  <w:rStyle w:val="Hyperlink"/>
                </w:rPr>
                <w:t>Ecodesign</w:t>
              </w:r>
              <w:proofErr w:type="spellEnd"/>
            </w:hyperlink>
          </w:p>
        </w:tc>
        <w:tc>
          <w:tcPr>
            <w:tcW w:w="1318" w:type="dxa"/>
          </w:tcPr>
          <w:p w14:paraId="7D03FAC1" w14:textId="77777777" w:rsidR="00FB5ED6" w:rsidRDefault="00FB5ED6" w:rsidP="00FB5ED6"/>
        </w:tc>
      </w:tr>
      <w:tr w:rsidR="00FB5ED6" w14:paraId="6762EC18" w14:textId="77777777" w:rsidTr="00493F43">
        <w:tc>
          <w:tcPr>
            <w:tcW w:w="641" w:type="dxa"/>
          </w:tcPr>
          <w:p w14:paraId="51EFE572" w14:textId="7139D7A8" w:rsidR="00FB5ED6" w:rsidRPr="00662F2F" w:rsidRDefault="00A84785" w:rsidP="00FB5ED6">
            <w:pPr>
              <w:rPr>
                <w:b/>
              </w:rPr>
            </w:pPr>
            <w:r w:rsidRPr="00662F2F">
              <w:rPr>
                <w:b/>
              </w:rPr>
              <w:t>4</w:t>
            </w:r>
          </w:p>
        </w:tc>
        <w:tc>
          <w:tcPr>
            <w:tcW w:w="7057" w:type="dxa"/>
          </w:tcPr>
          <w:p w14:paraId="7B4224F8" w14:textId="7213809C" w:rsidR="00FB5ED6" w:rsidRPr="00A84785" w:rsidRDefault="00A84785" w:rsidP="00FB5ED6">
            <w:pPr>
              <w:rPr>
                <w:rFonts w:cstheme="minorHAnsi"/>
              </w:rPr>
            </w:pPr>
            <w:r w:rsidRPr="00A84785">
              <w:rPr>
                <w:rStyle w:val="Strong"/>
                <w:rFonts w:cstheme="minorHAnsi"/>
                <w:color w:val="404040"/>
                <w:bdr w:val="none" w:sz="0" w:space="0" w:color="auto" w:frame="1"/>
                <w:shd w:val="clear" w:color="auto" w:fill="FFFFFF"/>
              </w:rPr>
              <w:t>Proposals to be adopted at Full Meeting – Discussion &amp; Summary</w:t>
            </w:r>
          </w:p>
        </w:tc>
        <w:tc>
          <w:tcPr>
            <w:tcW w:w="1318" w:type="dxa"/>
          </w:tcPr>
          <w:p w14:paraId="33914724" w14:textId="77777777" w:rsidR="00FB5ED6" w:rsidRDefault="00FB5ED6" w:rsidP="00FB5ED6"/>
        </w:tc>
      </w:tr>
      <w:tr w:rsidR="00FB5ED6" w14:paraId="4DFE1FB1" w14:textId="77777777" w:rsidTr="00493F43">
        <w:tc>
          <w:tcPr>
            <w:tcW w:w="641" w:type="dxa"/>
          </w:tcPr>
          <w:p w14:paraId="59084183" w14:textId="77777777" w:rsidR="00FB5ED6" w:rsidRDefault="00FB5ED6" w:rsidP="00FB5ED6"/>
        </w:tc>
        <w:tc>
          <w:tcPr>
            <w:tcW w:w="7057" w:type="dxa"/>
          </w:tcPr>
          <w:p w14:paraId="78D7CDC5" w14:textId="77777777" w:rsidR="00B52C82" w:rsidRDefault="00A84785" w:rsidP="00B52C8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785">
              <w:rPr>
                <w:rFonts w:asciiTheme="minorHAnsi" w:hAnsiTheme="minorHAnsi" w:cstheme="minorHAnsi"/>
                <w:sz w:val="22"/>
                <w:szCs w:val="22"/>
              </w:rPr>
              <w:t>Summary: proceeding with open membership applications/requests</w:t>
            </w:r>
            <w:r w:rsidR="00B52C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C64F8C" w14:textId="7BCA308B" w:rsidR="00B52C82" w:rsidRDefault="00995C4B" w:rsidP="00B52C8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EWA membership will be voted on in the Full Meeting</w:t>
            </w:r>
          </w:p>
          <w:p w14:paraId="2EEF73C1" w14:textId="4999F7DA" w:rsidR="00B52C82" w:rsidRPr="00B52C82" w:rsidRDefault="00B52C82" w:rsidP="00B52C8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2C82">
              <w:rPr>
                <w:rFonts w:asciiTheme="minorHAnsi" w:hAnsiTheme="minorHAnsi" w:cstheme="minorHAnsi"/>
                <w:sz w:val="22"/>
                <w:szCs w:val="22"/>
              </w:rPr>
              <w:t xml:space="preserve">The Flemish agency will be told the rules of </w:t>
            </w:r>
            <w:proofErr w:type="spellStart"/>
            <w:r w:rsidRPr="00B52C82">
              <w:rPr>
                <w:rFonts w:asciiTheme="minorHAnsi" w:hAnsiTheme="minorHAnsi" w:cstheme="minorHAnsi"/>
                <w:sz w:val="22"/>
                <w:szCs w:val="22"/>
              </w:rPr>
              <w:t>EnR</w:t>
            </w:r>
            <w:proofErr w:type="spellEnd"/>
            <w:r w:rsidRPr="00B52C82">
              <w:rPr>
                <w:rFonts w:asciiTheme="minorHAnsi" w:hAnsiTheme="minorHAnsi" w:cstheme="minorHAnsi"/>
                <w:sz w:val="22"/>
                <w:szCs w:val="22"/>
              </w:rPr>
              <w:t xml:space="preserve"> and will be asked to coordinate with the other two agencies in Belgium to agree how they will be represented at </w:t>
            </w:r>
            <w:proofErr w:type="spellStart"/>
            <w:r w:rsidRPr="00B52C82">
              <w:rPr>
                <w:rFonts w:asciiTheme="minorHAnsi" w:hAnsiTheme="minorHAnsi" w:cstheme="minorHAnsi"/>
                <w:sz w:val="22"/>
                <w:szCs w:val="22"/>
              </w:rPr>
              <w:t>EnR</w:t>
            </w:r>
            <w:proofErr w:type="spellEnd"/>
          </w:p>
          <w:p w14:paraId="33D05F53" w14:textId="79D0DB38" w:rsidR="00A84785" w:rsidRDefault="00A84785" w:rsidP="00A847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785">
              <w:rPr>
                <w:rFonts w:asciiTheme="minorHAnsi" w:hAnsiTheme="minorHAnsi" w:cstheme="minorHAnsi"/>
                <w:sz w:val="22"/>
                <w:szCs w:val="22"/>
              </w:rPr>
              <w:t xml:space="preserve">Energy Poverty Position Paper, </w:t>
            </w:r>
            <w:hyperlink r:id="rId19" w:history="1">
              <w:r w:rsidRPr="00A847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presentation</w:t>
              </w:r>
            </w:hyperlink>
            <w:r w:rsidRPr="00A84785">
              <w:rPr>
                <w:rFonts w:asciiTheme="minorHAnsi" w:hAnsiTheme="minorHAnsi" w:cstheme="minorHAnsi"/>
                <w:sz w:val="22"/>
                <w:szCs w:val="22"/>
              </w:rPr>
              <w:t xml:space="preserve"> by Chiara Martini, ENEA</w:t>
            </w:r>
            <w:r w:rsidR="00B52C82">
              <w:rPr>
                <w:rFonts w:asciiTheme="minorHAnsi" w:hAnsiTheme="minorHAnsi" w:cstheme="minorHAnsi"/>
                <w:sz w:val="22"/>
                <w:szCs w:val="22"/>
              </w:rPr>
              <w:t xml:space="preserve">. It gave policy recommendations that included </w:t>
            </w:r>
            <w:r w:rsidR="00B52C82" w:rsidRPr="00B52C82">
              <w:rPr>
                <w:rFonts w:asciiTheme="minorHAnsi" w:hAnsiTheme="minorHAnsi" w:cstheme="minorHAnsi"/>
                <w:sz w:val="22"/>
                <w:szCs w:val="22"/>
              </w:rPr>
              <w:t>introduc</w:t>
            </w:r>
            <w:r w:rsidR="00B52C8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B52C82" w:rsidRPr="00B52C82">
              <w:rPr>
                <w:rFonts w:asciiTheme="minorHAnsi" w:hAnsiTheme="minorHAnsi" w:cstheme="minorHAnsi"/>
                <w:sz w:val="22"/>
                <w:szCs w:val="22"/>
              </w:rPr>
              <w:t xml:space="preserve"> a unique EU energy poverty measure</w:t>
            </w:r>
            <w:r w:rsidR="00B52C8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52C82" w:rsidRPr="00B52C82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B52C8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B52C82" w:rsidRPr="00B52C82">
              <w:rPr>
                <w:rFonts w:asciiTheme="minorHAnsi" w:hAnsiTheme="minorHAnsi" w:cstheme="minorHAnsi"/>
                <w:sz w:val="22"/>
                <w:szCs w:val="22"/>
              </w:rPr>
              <w:t xml:space="preserve"> an integrated approach</w:t>
            </w:r>
            <w:r w:rsidR="00B52C8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gramStart"/>
            <w:r w:rsidR="00B52C82" w:rsidRPr="00B52C8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B52C8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B52C82" w:rsidRPr="00B52C82">
              <w:rPr>
                <w:rFonts w:asciiTheme="minorHAnsi" w:hAnsiTheme="minorHAnsi" w:cstheme="minorHAnsi"/>
                <w:sz w:val="22"/>
                <w:szCs w:val="22"/>
              </w:rPr>
              <w:t xml:space="preserve"> into account</w:t>
            </w:r>
            <w:proofErr w:type="gramEnd"/>
            <w:r w:rsidR="00B52C82" w:rsidRPr="00B52C82">
              <w:rPr>
                <w:rFonts w:asciiTheme="minorHAnsi" w:hAnsiTheme="minorHAnsi" w:cstheme="minorHAnsi"/>
                <w:sz w:val="22"/>
                <w:szCs w:val="22"/>
              </w:rPr>
              <w:t xml:space="preserve"> that training and information campaigns</w:t>
            </w:r>
            <w:r w:rsidR="00B52C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C634E7" w14:textId="33B6D354" w:rsidR="00FB5ED6" w:rsidRPr="00A84785" w:rsidRDefault="00A84785" w:rsidP="00FB5ED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785">
              <w:rPr>
                <w:rFonts w:asciiTheme="minorHAnsi" w:hAnsiTheme="minorHAnsi" w:cstheme="minorHAnsi"/>
                <w:sz w:val="22"/>
                <w:szCs w:val="22"/>
              </w:rPr>
              <w:t xml:space="preserve">Future focus topic for </w:t>
            </w:r>
            <w:proofErr w:type="spellStart"/>
            <w:r w:rsidRPr="00A84785">
              <w:rPr>
                <w:rFonts w:asciiTheme="minorHAnsi" w:hAnsiTheme="minorHAnsi" w:cstheme="minorHAnsi"/>
                <w:sz w:val="22"/>
                <w:szCs w:val="22"/>
              </w:rPr>
              <w:t>EnR</w:t>
            </w:r>
            <w:proofErr w:type="spellEnd"/>
            <w:r w:rsidRPr="00A84785">
              <w:rPr>
                <w:rFonts w:asciiTheme="minorHAnsi" w:hAnsiTheme="minorHAnsi" w:cstheme="minorHAnsi"/>
                <w:sz w:val="22"/>
                <w:szCs w:val="22"/>
              </w:rPr>
              <w:t xml:space="preserve"> Presidency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847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0" w:history="1">
              <w:r w:rsidRPr="00A847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presentation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given by</w:t>
            </w:r>
            <w:r w:rsidRPr="00A84785">
              <w:rPr>
                <w:rFonts w:asciiTheme="minorHAnsi" w:hAnsiTheme="minorHAnsi" w:cstheme="minorHAnsi"/>
                <w:sz w:val="22"/>
                <w:szCs w:val="22"/>
              </w:rPr>
              <w:t xml:space="preserve"> 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Theme will be EU &amp; International cooperation. The focus areas will be </w:t>
            </w:r>
            <w:r w:rsidR="00995C4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 taskforce, communications and stakeholder engagement. </w:t>
            </w:r>
          </w:p>
        </w:tc>
        <w:tc>
          <w:tcPr>
            <w:tcW w:w="1318" w:type="dxa"/>
          </w:tcPr>
          <w:p w14:paraId="07A8E619" w14:textId="16B53843" w:rsidR="00B52C82" w:rsidRDefault="00B52C82" w:rsidP="00FB5ED6"/>
          <w:p w14:paraId="413C2E3E" w14:textId="77777777" w:rsidR="00995C4B" w:rsidRDefault="00995C4B" w:rsidP="00FB5ED6"/>
          <w:p w14:paraId="4AE8547D" w14:textId="1FD9CB9E" w:rsidR="00B52C82" w:rsidRDefault="00B52C82" w:rsidP="00FB5ED6">
            <w:r>
              <w:t>ENEA</w:t>
            </w:r>
          </w:p>
        </w:tc>
      </w:tr>
      <w:tr w:rsidR="00FB5ED6" w14:paraId="0AF805AF" w14:textId="77777777" w:rsidTr="00493F43">
        <w:tc>
          <w:tcPr>
            <w:tcW w:w="641" w:type="dxa"/>
          </w:tcPr>
          <w:p w14:paraId="2912B2CD" w14:textId="7948D6FD" w:rsidR="00FB5ED6" w:rsidRPr="00662F2F" w:rsidRDefault="00995C4B" w:rsidP="00FB5ED6">
            <w:pPr>
              <w:rPr>
                <w:b/>
              </w:rPr>
            </w:pPr>
            <w:r w:rsidRPr="00662F2F">
              <w:rPr>
                <w:b/>
              </w:rPr>
              <w:t>5</w:t>
            </w:r>
          </w:p>
        </w:tc>
        <w:tc>
          <w:tcPr>
            <w:tcW w:w="7057" w:type="dxa"/>
          </w:tcPr>
          <w:p w14:paraId="4D6232B8" w14:textId="360FAB8F" w:rsidR="00FB5ED6" w:rsidRPr="00995C4B" w:rsidRDefault="00995C4B" w:rsidP="00FB5ED6">
            <w:pPr>
              <w:rPr>
                <w:rFonts w:cstheme="minorHAnsi"/>
                <w:b/>
              </w:rPr>
            </w:pPr>
            <w:proofErr w:type="spellStart"/>
            <w:r w:rsidRPr="00995C4B">
              <w:rPr>
                <w:rFonts w:cstheme="minorHAnsi"/>
                <w:b/>
              </w:rPr>
              <w:t>EnR</w:t>
            </w:r>
            <w:proofErr w:type="spellEnd"/>
            <w:r w:rsidRPr="00995C4B">
              <w:rPr>
                <w:rFonts w:cstheme="minorHAnsi"/>
                <w:b/>
              </w:rPr>
              <w:t xml:space="preserve"> Collaborative projects session                                                       </w:t>
            </w:r>
          </w:p>
        </w:tc>
        <w:tc>
          <w:tcPr>
            <w:tcW w:w="1318" w:type="dxa"/>
          </w:tcPr>
          <w:p w14:paraId="4B40AB4A" w14:textId="77777777" w:rsidR="00FB5ED6" w:rsidRDefault="00FB5ED6" w:rsidP="00FB5ED6"/>
        </w:tc>
      </w:tr>
      <w:tr w:rsidR="00995C4B" w14:paraId="7C867C88" w14:textId="77777777" w:rsidTr="00493F43">
        <w:tc>
          <w:tcPr>
            <w:tcW w:w="641" w:type="dxa"/>
          </w:tcPr>
          <w:p w14:paraId="690EBE47" w14:textId="77777777" w:rsidR="00995C4B" w:rsidRDefault="00995C4B" w:rsidP="00FB5ED6"/>
        </w:tc>
        <w:tc>
          <w:tcPr>
            <w:tcW w:w="7057" w:type="dxa"/>
          </w:tcPr>
          <w:p w14:paraId="56C1212C" w14:textId="6F44852D" w:rsidR="00995C4B" w:rsidRPr="00995C4B" w:rsidRDefault="00400189" w:rsidP="00995C4B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6521"/>
                <w:tab w:val="left" w:pos="7655"/>
              </w:tabs>
              <w:spacing w:after="120"/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proofErr w:type="spellStart"/>
              <w:r w:rsidR="00995C4B" w:rsidRPr="00995C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PUBLEnEF</w:t>
              </w:r>
              <w:proofErr w:type="spellEnd"/>
            </w:hyperlink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 xml:space="preserve"> - Energy Efficiency Policy Support, Pietro </w:t>
            </w:r>
            <w:proofErr w:type="spellStart"/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>Falconi</w:t>
            </w:r>
            <w:proofErr w:type="spellEnd"/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 xml:space="preserve">, ENEA </w:t>
            </w:r>
            <w:r w:rsidR="00995C4B" w:rsidRPr="00995C4B">
              <w:rPr>
                <w:rFonts w:asciiTheme="minorHAnsi" w:hAnsiTheme="minorHAnsi" w:cstheme="minorHAnsi"/>
                <w:i/>
                <w:sz w:val="22"/>
                <w:szCs w:val="22"/>
              </w:rPr>
              <w:t>(streaming)</w:t>
            </w:r>
          </w:p>
          <w:p w14:paraId="4A226DA0" w14:textId="7893CAD0" w:rsidR="00995C4B" w:rsidRPr="00995C4B" w:rsidRDefault="00400189" w:rsidP="00995C4B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6521"/>
                <w:tab w:val="left" w:pos="7655"/>
              </w:tabs>
              <w:spacing w:after="120"/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995C4B" w:rsidRPr="00995C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ENSMOV</w:t>
              </w:r>
            </w:hyperlink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 xml:space="preserve"> - Enhancing the implementation and monitoring and verification practices of energy saving policies under Article 7 of the EED, </w:t>
            </w:r>
            <w:proofErr w:type="spellStart"/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>Branka</w:t>
            </w:r>
            <w:proofErr w:type="spellEnd"/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>Jelavić</w:t>
            </w:r>
            <w:proofErr w:type="spellEnd"/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>, EIHP</w:t>
            </w:r>
          </w:p>
          <w:p w14:paraId="25D46865" w14:textId="59D5ED3E" w:rsidR="00995C4B" w:rsidRPr="00995C4B" w:rsidRDefault="00400189" w:rsidP="00995C4B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6521"/>
                <w:tab w:val="left" w:pos="7655"/>
              </w:tabs>
              <w:spacing w:after="120"/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995C4B" w:rsidRPr="00995C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HACKS</w:t>
              </w:r>
            </w:hyperlink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 xml:space="preserve"> – Heating and cooling know-how and solutions, Nicolas </w:t>
            </w:r>
            <w:proofErr w:type="spellStart"/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>Dyèvre</w:t>
            </w:r>
            <w:proofErr w:type="spellEnd"/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>, ADEME</w:t>
            </w:r>
          </w:p>
          <w:p w14:paraId="75A68C52" w14:textId="366DEA39" w:rsidR="00995C4B" w:rsidRPr="00995C4B" w:rsidRDefault="00400189" w:rsidP="00995C4B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6521"/>
                <w:tab w:val="left" w:pos="7655"/>
              </w:tabs>
              <w:spacing w:after="120"/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995C4B" w:rsidRPr="00995C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LABEL2020</w:t>
              </w:r>
            </w:hyperlink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 xml:space="preserve"> - New Label driving supply and demand of energy efficient products, Kerstin </w:t>
            </w:r>
            <w:proofErr w:type="spellStart"/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>Schilcher</w:t>
            </w:r>
            <w:proofErr w:type="spellEnd"/>
            <w:r w:rsidR="00995C4B" w:rsidRPr="00995C4B">
              <w:rPr>
                <w:rFonts w:asciiTheme="minorHAnsi" w:hAnsiTheme="minorHAnsi" w:cstheme="minorHAnsi"/>
                <w:sz w:val="22"/>
                <w:szCs w:val="22"/>
              </w:rPr>
              <w:t>, AEA</w:t>
            </w:r>
          </w:p>
        </w:tc>
        <w:tc>
          <w:tcPr>
            <w:tcW w:w="1318" w:type="dxa"/>
          </w:tcPr>
          <w:p w14:paraId="11622086" w14:textId="77777777" w:rsidR="00995C4B" w:rsidRDefault="00995C4B" w:rsidP="00FB5ED6"/>
        </w:tc>
      </w:tr>
      <w:tr w:rsidR="00662F2F" w14:paraId="65663864" w14:textId="77777777" w:rsidTr="00493F43">
        <w:tc>
          <w:tcPr>
            <w:tcW w:w="641" w:type="dxa"/>
          </w:tcPr>
          <w:p w14:paraId="62AA513E" w14:textId="72D2F630" w:rsidR="00662F2F" w:rsidRPr="00662F2F" w:rsidRDefault="00662F2F" w:rsidP="00FB5ED6">
            <w:pPr>
              <w:rPr>
                <w:b/>
              </w:rPr>
            </w:pPr>
            <w:r w:rsidRPr="00662F2F">
              <w:rPr>
                <w:b/>
              </w:rPr>
              <w:t>6</w:t>
            </w:r>
          </w:p>
        </w:tc>
        <w:tc>
          <w:tcPr>
            <w:tcW w:w="7057" w:type="dxa"/>
          </w:tcPr>
          <w:p w14:paraId="4100C8E2" w14:textId="77777777" w:rsidR="00662F2F" w:rsidRDefault="00662F2F" w:rsidP="00662F2F">
            <w:pPr>
              <w:tabs>
                <w:tab w:val="left" w:pos="709"/>
                <w:tab w:val="left" w:pos="6521"/>
                <w:tab w:val="left" w:pos="7655"/>
              </w:tabs>
              <w:spacing w:after="120"/>
              <w:ind w:right="-96"/>
              <w:rPr>
                <w:rFonts w:cstheme="minorHAnsi"/>
                <w:b/>
              </w:rPr>
            </w:pPr>
            <w:r w:rsidRPr="00662F2F">
              <w:rPr>
                <w:rFonts w:cstheme="minorHAnsi"/>
                <w:b/>
              </w:rPr>
              <w:t>AOB</w:t>
            </w:r>
          </w:p>
          <w:p w14:paraId="3AFBAB10" w14:textId="758BBDC2" w:rsidR="00662F2F" w:rsidRPr="00662F2F" w:rsidRDefault="00662F2F" w:rsidP="00662F2F">
            <w:pPr>
              <w:tabs>
                <w:tab w:val="left" w:pos="709"/>
                <w:tab w:val="left" w:pos="6521"/>
                <w:tab w:val="left" w:pos="7655"/>
              </w:tabs>
              <w:spacing w:after="120"/>
              <w:ind w:right="-96"/>
              <w:rPr>
                <w:rFonts w:cstheme="minorHAnsi"/>
              </w:rPr>
            </w:pPr>
            <w:r w:rsidRPr="00662F2F">
              <w:rPr>
                <w:rFonts w:cstheme="minorHAnsi"/>
              </w:rPr>
              <w:t>N</w:t>
            </w:r>
            <w:r>
              <w:rPr>
                <w:rFonts w:cstheme="minorHAnsi"/>
              </w:rPr>
              <w:t>/</w:t>
            </w:r>
            <w:r w:rsidRPr="00662F2F">
              <w:rPr>
                <w:rFonts w:cstheme="minorHAnsi"/>
              </w:rPr>
              <w:t>A</w:t>
            </w:r>
          </w:p>
        </w:tc>
        <w:tc>
          <w:tcPr>
            <w:tcW w:w="1318" w:type="dxa"/>
          </w:tcPr>
          <w:p w14:paraId="63DE6219" w14:textId="77777777" w:rsidR="00662F2F" w:rsidRDefault="00662F2F" w:rsidP="00FB5ED6"/>
        </w:tc>
      </w:tr>
    </w:tbl>
    <w:p w14:paraId="67097604" w14:textId="0B8521EC" w:rsidR="00FB5ED6" w:rsidRDefault="00FB5ED6"/>
    <w:p w14:paraId="0FCD181F" w14:textId="3AE17FAD" w:rsidR="00915396" w:rsidRPr="0038732A" w:rsidRDefault="00915396" w:rsidP="00915396">
      <w:pPr>
        <w:rPr>
          <w:i/>
          <w:sz w:val="26"/>
          <w:szCs w:val="26"/>
        </w:rPr>
      </w:pPr>
      <w:r w:rsidRPr="0038732A">
        <w:rPr>
          <w:i/>
          <w:sz w:val="26"/>
          <w:szCs w:val="26"/>
        </w:rPr>
        <w:t xml:space="preserve">Day </w:t>
      </w:r>
      <w:r w:rsidR="00501219">
        <w:rPr>
          <w:i/>
          <w:sz w:val="26"/>
          <w:szCs w:val="26"/>
        </w:rPr>
        <w:t>2</w:t>
      </w:r>
      <w:r w:rsidRPr="0038732A">
        <w:rPr>
          <w:i/>
          <w:sz w:val="26"/>
          <w:szCs w:val="26"/>
        </w:rPr>
        <w:t xml:space="preserve"> – 1</w:t>
      </w:r>
      <w:r w:rsidR="00501219">
        <w:rPr>
          <w:i/>
          <w:sz w:val="26"/>
          <w:szCs w:val="26"/>
        </w:rPr>
        <w:t>4</w:t>
      </w:r>
      <w:r w:rsidRPr="0038732A">
        <w:rPr>
          <w:i/>
          <w:sz w:val="26"/>
          <w:szCs w:val="26"/>
        </w:rPr>
        <w:t xml:space="preserve">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7057"/>
        <w:gridCol w:w="1318"/>
      </w:tblGrid>
      <w:tr w:rsidR="00995C4B" w14:paraId="226FD5B0" w14:textId="77777777" w:rsidTr="00665F72">
        <w:tc>
          <w:tcPr>
            <w:tcW w:w="641" w:type="dxa"/>
          </w:tcPr>
          <w:p w14:paraId="00AD59D4" w14:textId="2D90143C" w:rsidR="00995C4B" w:rsidRPr="00501219" w:rsidRDefault="00662F2F" w:rsidP="00665F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057" w:type="dxa"/>
          </w:tcPr>
          <w:p w14:paraId="096D0F73" w14:textId="77777777" w:rsidR="00995C4B" w:rsidRDefault="00501219" w:rsidP="00665F72">
            <w:pPr>
              <w:rPr>
                <w:rFonts w:cstheme="minorHAnsi"/>
                <w:b/>
              </w:rPr>
            </w:pPr>
            <w:r w:rsidRPr="00501219">
              <w:rPr>
                <w:rFonts w:cstheme="minorHAnsi"/>
                <w:b/>
              </w:rPr>
              <w:t>Invited Speakers Session</w:t>
            </w:r>
          </w:p>
          <w:p w14:paraId="155BD8E2" w14:textId="019FEF3D" w:rsidR="00501219" w:rsidRPr="00501219" w:rsidRDefault="00501219" w:rsidP="00501219">
            <w:pPr>
              <w:ind w:right="-96"/>
              <w:rPr>
                <w:rFonts w:cstheme="minorHAnsi"/>
                <w:b/>
              </w:rPr>
            </w:pPr>
            <w:r w:rsidRPr="00501219">
              <w:rPr>
                <w:rFonts w:cstheme="minorHAnsi"/>
                <w:b/>
              </w:rPr>
              <w:t xml:space="preserve">EU long-term Strategy: Climate neutral </w:t>
            </w:r>
            <w:smartTag w:uri="urn:schemas-microsoft-com:office:smarttags" w:element="place">
              <w:r w:rsidRPr="00501219">
                <w:rPr>
                  <w:rFonts w:cstheme="minorHAnsi"/>
                  <w:b/>
                </w:rPr>
                <w:t>Europe</w:t>
              </w:r>
            </w:smartTag>
            <w:r w:rsidRPr="00501219">
              <w:rPr>
                <w:rFonts w:cstheme="minorHAnsi"/>
                <w:b/>
              </w:rPr>
              <w:t xml:space="preserve"> by 2050 (Communication from the Commission, 28.11.18)</w:t>
            </w:r>
          </w:p>
        </w:tc>
        <w:tc>
          <w:tcPr>
            <w:tcW w:w="1318" w:type="dxa"/>
          </w:tcPr>
          <w:p w14:paraId="7F9C18C9" w14:textId="77777777" w:rsidR="00995C4B" w:rsidRDefault="00995C4B" w:rsidP="00665F72"/>
        </w:tc>
      </w:tr>
      <w:tr w:rsidR="00995C4B" w14:paraId="55EC2C79" w14:textId="77777777" w:rsidTr="00665F72">
        <w:tc>
          <w:tcPr>
            <w:tcW w:w="641" w:type="dxa"/>
          </w:tcPr>
          <w:p w14:paraId="37658A25" w14:textId="77777777" w:rsidR="00995C4B" w:rsidRDefault="00995C4B" w:rsidP="00665F72"/>
        </w:tc>
        <w:tc>
          <w:tcPr>
            <w:tcW w:w="7057" w:type="dxa"/>
          </w:tcPr>
          <w:p w14:paraId="2C3C418D" w14:textId="6C89FF17" w:rsidR="00995C4B" w:rsidRPr="00501219" w:rsidRDefault="00501219" w:rsidP="00665F72">
            <w:pPr>
              <w:rPr>
                <w:rFonts w:cstheme="minorHAnsi"/>
              </w:rPr>
            </w:pPr>
            <w:r w:rsidRPr="00501219">
              <w:rPr>
                <w:rFonts w:cstheme="minorHAnsi"/>
                <w:lang w:eastAsia="es-ES"/>
              </w:rPr>
              <w:t>Introduction by Philip Sellwood, EST</w:t>
            </w:r>
          </w:p>
          <w:p w14:paraId="3845877F" w14:textId="77777777" w:rsidR="00501219" w:rsidRPr="00501219" w:rsidRDefault="00501219" w:rsidP="00665F72">
            <w:pPr>
              <w:rPr>
                <w:rFonts w:cstheme="minorHAnsi"/>
                <w:lang w:eastAsia="es-ES"/>
              </w:rPr>
            </w:pPr>
            <w:r w:rsidRPr="00501219">
              <w:rPr>
                <w:rFonts w:cstheme="minorHAnsi"/>
                <w:lang w:eastAsia="es-ES"/>
              </w:rPr>
              <w:t>Chair - Emilie Carmichael, EST</w:t>
            </w:r>
          </w:p>
          <w:p w14:paraId="69F6CC74" w14:textId="77777777" w:rsidR="00501219" w:rsidRPr="00501219" w:rsidRDefault="00501219" w:rsidP="00665F72">
            <w:pPr>
              <w:rPr>
                <w:rFonts w:cstheme="minorHAnsi"/>
                <w:lang w:eastAsia="es-ES"/>
              </w:rPr>
            </w:pPr>
          </w:p>
          <w:p w14:paraId="2C6414AA" w14:textId="659BFC9E" w:rsidR="00501219" w:rsidRDefault="00501219" w:rsidP="00665F72">
            <w:pPr>
              <w:rPr>
                <w:rFonts w:cstheme="minorHAnsi"/>
              </w:rPr>
            </w:pPr>
            <w:r w:rsidRPr="001459B5">
              <w:rPr>
                <w:rFonts w:cstheme="minorHAnsi"/>
                <w:b/>
                <w:lang w:eastAsia="es-ES"/>
              </w:rPr>
              <w:t xml:space="preserve">Leonidas </w:t>
            </w:r>
            <w:proofErr w:type="spellStart"/>
            <w:r w:rsidRPr="001459B5">
              <w:rPr>
                <w:rFonts w:cstheme="minorHAnsi"/>
                <w:b/>
                <w:lang w:eastAsia="es-ES"/>
              </w:rPr>
              <w:t>Kioussios</w:t>
            </w:r>
            <w:proofErr w:type="spellEnd"/>
            <w:r w:rsidRPr="001459B5">
              <w:rPr>
                <w:rFonts w:cstheme="minorHAnsi"/>
                <w:b/>
                <w:lang w:eastAsia="es-ES"/>
              </w:rPr>
              <w:t>, International Relations &amp; Enlargement, DG ENERGY, EU Commission</w:t>
            </w:r>
            <w:r w:rsidRPr="00501219">
              <w:rPr>
                <w:rFonts w:cstheme="minorHAnsi"/>
                <w:lang w:eastAsia="es-ES"/>
              </w:rPr>
              <w:t xml:space="preserve"> </w:t>
            </w:r>
            <w:r w:rsidRPr="00501219">
              <w:rPr>
                <w:rFonts w:cstheme="minorHAnsi"/>
              </w:rPr>
              <w:t>(streaming)</w:t>
            </w:r>
          </w:p>
          <w:p w14:paraId="4785543A" w14:textId="0200F789" w:rsidR="00501219" w:rsidRPr="00501219" w:rsidRDefault="001459B5" w:rsidP="00501219">
            <w:pPr>
              <w:rPr>
                <w:rFonts w:cstheme="minorHAnsi"/>
              </w:rPr>
            </w:pPr>
            <w:r w:rsidRPr="001459B5">
              <w:rPr>
                <w:rFonts w:cstheme="minorHAnsi"/>
                <w:u w:val="single"/>
              </w:rPr>
              <w:t>Summary</w:t>
            </w:r>
            <w:r>
              <w:rPr>
                <w:rFonts w:cstheme="minorHAnsi"/>
              </w:rPr>
              <w:t xml:space="preserve">: </w:t>
            </w:r>
            <w:r w:rsidR="00501219" w:rsidRPr="00501219">
              <w:rPr>
                <w:rFonts w:cstheme="minorHAnsi"/>
              </w:rPr>
              <w:t xml:space="preserve">Citizen </w:t>
            </w:r>
            <w:r w:rsidR="00501219">
              <w:rPr>
                <w:rFonts w:cstheme="minorHAnsi"/>
              </w:rPr>
              <w:t>are very concerned about climate change, with p</w:t>
            </w:r>
            <w:r w:rsidR="00501219" w:rsidRPr="00501219">
              <w:rPr>
                <w:rFonts w:cstheme="minorHAnsi"/>
              </w:rPr>
              <w:t>eople demonstratin</w:t>
            </w:r>
            <w:r w:rsidR="00501219">
              <w:rPr>
                <w:rFonts w:cstheme="minorHAnsi"/>
              </w:rPr>
              <w:t>g. A</w:t>
            </w:r>
            <w:r w:rsidR="00501219" w:rsidRPr="00501219">
              <w:rPr>
                <w:rFonts w:cstheme="minorHAnsi"/>
              </w:rPr>
              <w:t xml:space="preserve"> realistic solution</w:t>
            </w:r>
            <w:r w:rsidR="00501219">
              <w:rPr>
                <w:rFonts w:cstheme="minorHAnsi"/>
              </w:rPr>
              <w:t xml:space="preserve"> is to</w:t>
            </w:r>
            <w:r w:rsidR="00501219" w:rsidRPr="00501219">
              <w:rPr>
                <w:rFonts w:cstheme="minorHAnsi"/>
              </w:rPr>
              <w:t xml:space="preserve"> empower people, not a legislative proposal but a strategy. </w:t>
            </w:r>
            <w:r w:rsidR="00501219">
              <w:rPr>
                <w:rFonts w:cstheme="minorHAnsi"/>
              </w:rPr>
              <w:t>There are a range of</w:t>
            </w:r>
            <w:r w:rsidR="00501219" w:rsidRPr="00501219">
              <w:rPr>
                <w:rFonts w:cstheme="minorHAnsi"/>
              </w:rPr>
              <w:t xml:space="preserve"> different possibilities</w:t>
            </w:r>
            <w:r w:rsidR="00501219">
              <w:rPr>
                <w:rFonts w:cstheme="minorHAnsi"/>
              </w:rPr>
              <w:t xml:space="preserve"> involving </w:t>
            </w:r>
            <w:r w:rsidR="00501219" w:rsidRPr="00501219">
              <w:rPr>
                <w:rFonts w:cstheme="minorHAnsi"/>
              </w:rPr>
              <w:lastRenderedPageBreak/>
              <w:t>the power sector, industry, agriculture, mobility</w:t>
            </w:r>
            <w:r>
              <w:rPr>
                <w:rFonts w:cstheme="minorHAnsi"/>
              </w:rPr>
              <w:t>, etc.</w:t>
            </w:r>
            <w:r w:rsidR="00501219" w:rsidRPr="00501219">
              <w:rPr>
                <w:rFonts w:cstheme="minorHAnsi"/>
              </w:rPr>
              <w:t xml:space="preserve"> Mobility: low carbon mobility</w:t>
            </w:r>
            <w:r>
              <w:rPr>
                <w:rFonts w:cstheme="minorHAnsi"/>
              </w:rPr>
              <w:t>. A</w:t>
            </w:r>
            <w:r w:rsidR="00501219" w:rsidRPr="00501219">
              <w:rPr>
                <w:rFonts w:cstheme="minorHAnsi"/>
              </w:rPr>
              <w:t>gricultural sector: non</w:t>
            </w:r>
            <w:r>
              <w:rPr>
                <w:rFonts w:cstheme="minorHAnsi"/>
              </w:rPr>
              <w:t>-</w:t>
            </w:r>
            <w:r w:rsidR="00501219" w:rsidRPr="00501219">
              <w:rPr>
                <w:rFonts w:cstheme="minorHAnsi"/>
              </w:rPr>
              <w:t>CO</w:t>
            </w:r>
            <w:r w:rsidR="00501219" w:rsidRPr="001459B5">
              <w:rPr>
                <w:rFonts w:cstheme="minorHAnsi"/>
                <w:vertAlign w:val="subscript"/>
              </w:rPr>
              <w:t>2</w:t>
            </w:r>
            <w:r w:rsidR="00501219" w:rsidRPr="00501219">
              <w:rPr>
                <w:rFonts w:cstheme="minorHAnsi"/>
              </w:rPr>
              <w:t xml:space="preserve"> emissions, fleet stock, fertilizers etc.  Building sector: measures</w:t>
            </w:r>
            <w:r>
              <w:rPr>
                <w:rFonts w:cstheme="minorHAnsi"/>
              </w:rPr>
              <w:t>, i</w:t>
            </w:r>
            <w:r w:rsidR="00501219" w:rsidRPr="00501219">
              <w:rPr>
                <w:rFonts w:cstheme="minorHAnsi"/>
              </w:rPr>
              <w:t>ntegrated approach necessary for modernisation of the environment</w:t>
            </w:r>
            <w:r>
              <w:rPr>
                <w:rFonts w:cstheme="minorHAnsi"/>
              </w:rPr>
              <w:t>,</w:t>
            </w:r>
            <w:r w:rsidR="00501219" w:rsidRPr="00501219">
              <w:rPr>
                <w:rFonts w:cstheme="minorHAnsi"/>
              </w:rPr>
              <w:t xml:space="preserve"> requires many areas: </w:t>
            </w:r>
            <w:r>
              <w:rPr>
                <w:rFonts w:cstheme="minorHAnsi"/>
              </w:rPr>
              <w:t>energy efficiency</w:t>
            </w:r>
            <w:r w:rsidR="00501219" w:rsidRPr="0050121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renewables</w:t>
            </w:r>
            <w:r w:rsidR="00501219" w:rsidRPr="00501219">
              <w:rPr>
                <w:rFonts w:cstheme="minorHAnsi"/>
              </w:rPr>
              <w:t>, industry, bio economy, national carbon sinks, carbon storage etc.</w:t>
            </w:r>
            <w:r>
              <w:rPr>
                <w:rFonts w:cstheme="minorHAnsi"/>
              </w:rPr>
              <w:t xml:space="preserve"> There is also a need for d</w:t>
            </w:r>
            <w:r w:rsidR="00501219" w:rsidRPr="00501219">
              <w:rPr>
                <w:rFonts w:cstheme="minorHAnsi"/>
              </w:rPr>
              <w:t>igitalisation</w:t>
            </w:r>
            <w:r>
              <w:rPr>
                <w:rFonts w:cstheme="minorHAnsi"/>
              </w:rPr>
              <w:t>,</w:t>
            </w:r>
            <w:r w:rsidR="00501219" w:rsidRPr="00501219">
              <w:rPr>
                <w:rFonts w:cstheme="minorHAnsi"/>
              </w:rPr>
              <w:t xml:space="preserve"> data sharing for mobility in urban areas, smart electricity and data information grids, retrofit in existing infrastructure.</w:t>
            </w:r>
          </w:p>
          <w:p w14:paraId="201446AF" w14:textId="003C1B2A" w:rsidR="00501219" w:rsidRPr="00501219" w:rsidRDefault="00501219" w:rsidP="00501219">
            <w:pPr>
              <w:rPr>
                <w:rFonts w:cstheme="minorHAnsi"/>
              </w:rPr>
            </w:pPr>
            <w:r w:rsidRPr="00501219">
              <w:rPr>
                <w:rFonts w:cstheme="minorHAnsi"/>
              </w:rPr>
              <w:t>Investments</w:t>
            </w:r>
            <w:r w:rsidR="001459B5">
              <w:rPr>
                <w:rFonts w:cstheme="minorHAnsi"/>
              </w:rPr>
              <w:t xml:space="preserve"> have been made</w:t>
            </w:r>
            <w:r w:rsidRPr="00501219">
              <w:rPr>
                <w:rFonts w:cstheme="minorHAnsi"/>
              </w:rPr>
              <w:t xml:space="preserve"> in fundamental and applied research, industrial research</w:t>
            </w:r>
            <w:r w:rsidR="001459B5">
              <w:rPr>
                <w:rFonts w:cstheme="minorHAnsi"/>
              </w:rPr>
              <w:t xml:space="preserve">. </w:t>
            </w:r>
            <w:r w:rsidRPr="00501219">
              <w:rPr>
                <w:rFonts w:cstheme="minorHAnsi"/>
              </w:rPr>
              <w:t xml:space="preserve">Europe </w:t>
            </w:r>
            <w:r w:rsidR="001459B5">
              <w:rPr>
                <w:rFonts w:cstheme="minorHAnsi"/>
              </w:rPr>
              <w:t xml:space="preserve">is the leader </w:t>
            </w:r>
            <w:r w:rsidRPr="00501219">
              <w:rPr>
                <w:rFonts w:cstheme="minorHAnsi"/>
              </w:rPr>
              <w:t>in sustainable techno</w:t>
            </w:r>
            <w:r w:rsidR="001459B5">
              <w:rPr>
                <w:rFonts w:cstheme="minorHAnsi"/>
              </w:rPr>
              <w:t>logy</w:t>
            </w:r>
            <w:r w:rsidRPr="00501219">
              <w:rPr>
                <w:rFonts w:cstheme="minorHAnsi"/>
              </w:rPr>
              <w:t>, business models</w:t>
            </w:r>
            <w:r w:rsidR="001459B5">
              <w:rPr>
                <w:rFonts w:cstheme="minorHAnsi"/>
              </w:rPr>
              <w:t xml:space="preserve">. </w:t>
            </w:r>
            <w:r w:rsidRPr="00501219">
              <w:rPr>
                <w:rFonts w:cstheme="minorHAnsi"/>
              </w:rPr>
              <w:t>Success in leading transition depends on international actions</w:t>
            </w:r>
            <w:r w:rsidR="001459B5">
              <w:rPr>
                <w:rFonts w:cstheme="minorHAnsi"/>
              </w:rPr>
              <w:t xml:space="preserve"> and </w:t>
            </w:r>
            <w:r w:rsidRPr="00501219">
              <w:rPr>
                <w:rFonts w:cstheme="minorHAnsi"/>
              </w:rPr>
              <w:t>multilateral cooperation</w:t>
            </w:r>
            <w:r w:rsidR="001459B5">
              <w:rPr>
                <w:rFonts w:cstheme="minorHAnsi"/>
              </w:rPr>
              <w:t xml:space="preserve">. </w:t>
            </w:r>
            <w:r w:rsidRPr="00501219">
              <w:rPr>
                <w:rFonts w:cstheme="minorHAnsi"/>
              </w:rPr>
              <w:t>Agencies have a role, partnership important, capacity building, etc.</w:t>
            </w:r>
            <w:r w:rsidR="001459B5">
              <w:rPr>
                <w:rFonts w:cstheme="minorHAnsi"/>
              </w:rPr>
              <w:t xml:space="preserve"> as is the r</w:t>
            </w:r>
            <w:r w:rsidRPr="00501219">
              <w:rPr>
                <w:rFonts w:cstheme="minorHAnsi"/>
              </w:rPr>
              <w:t>ole of citizens and local authorities</w:t>
            </w:r>
            <w:r w:rsidR="001459B5">
              <w:rPr>
                <w:rFonts w:cstheme="minorHAnsi"/>
              </w:rPr>
              <w:t>.</w:t>
            </w:r>
          </w:p>
          <w:p w14:paraId="2857CD99" w14:textId="77777777" w:rsidR="00501219" w:rsidRDefault="00501219" w:rsidP="00501219">
            <w:pPr>
              <w:rPr>
                <w:rFonts w:cstheme="minorHAnsi"/>
              </w:rPr>
            </w:pPr>
          </w:p>
          <w:p w14:paraId="2A65CDA8" w14:textId="77777777" w:rsidR="001459B5" w:rsidRDefault="001459B5" w:rsidP="00501219">
            <w:pPr>
              <w:rPr>
                <w:rFonts w:cstheme="minorHAnsi"/>
                <w:b/>
                <w:lang w:eastAsia="es-ES"/>
              </w:rPr>
            </w:pPr>
            <w:r w:rsidRPr="001459B5">
              <w:rPr>
                <w:rFonts w:cstheme="minorHAnsi"/>
                <w:b/>
                <w:lang w:eastAsia="es-ES"/>
              </w:rPr>
              <w:t xml:space="preserve">Energy sufficiency, </w:t>
            </w:r>
            <w:hyperlink r:id="rId25" w:history="1">
              <w:r w:rsidRPr="001459B5">
                <w:rPr>
                  <w:rStyle w:val="Hyperlink"/>
                  <w:rFonts w:cstheme="minorHAnsi"/>
                  <w:b/>
                  <w:lang w:eastAsia="es-ES"/>
                </w:rPr>
                <w:t>presentation</w:t>
              </w:r>
            </w:hyperlink>
            <w:r w:rsidRPr="001459B5">
              <w:rPr>
                <w:rFonts w:cstheme="minorHAnsi"/>
                <w:b/>
                <w:lang w:eastAsia="es-ES"/>
              </w:rPr>
              <w:t xml:space="preserve"> by Katharina </w:t>
            </w:r>
            <w:proofErr w:type="spellStart"/>
            <w:r w:rsidRPr="001459B5">
              <w:rPr>
                <w:rFonts w:cstheme="minorHAnsi"/>
                <w:b/>
                <w:lang w:eastAsia="es-ES"/>
              </w:rPr>
              <w:t>Bohnenberger</w:t>
            </w:r>
            <w:proofErr w:type="spellEnd"/>
            <w:r w:rsidRPr="001459B5">
              <w:rPr>
                <w:rFonts w:cstheme="minorHAnsi"/>
                <w:b/>
                <w:lang w:eastAsia="es-ES"/>
              </w:rPr>
              <w:t>, Wuppertal Institute</w:t>
            </w:r>
          </w:p>
          <w:p w14:paraId="0043958B" w14:textId="77777777" w:rsidR="004E0998" w:rsidRDefault="004E0998" w:rsidP="00501219">
            <w:pPr>
              <w:rPr>
                <w:rFonts w:cstheme="minorHAnsi"/>
                <w:b/>
                <w:lang w:eastAsia="es-ES"/>
              </w:rPr>
            </w:pPr>
          </w:p>
          <w:p w14:paraId="4D7172AD" w14:textId="10275708" w:rsidR="004E0998" w:rsidRPr="004E0998" w:rsidRDefault="004E0998" w:rsidP="00501219">
            <w:pPr>
              <w:rPr>
                <w:rFonts w:cstheme="minorHAnsi"/>
                <w:b/>
              </w:rPr>
            </w:pPr>
            <w:r w:rsidRPr="004E0998">
              <w:rPr>
                <w:rFonts w:cstheme="minorHAnsi"/>
                <w:b/>
                <w:lang w:eastAsia="es-ES"/>
              </w:rPr>
              <w:t xml:space="preserve">Circular Economy - Cool Products project, ECOS, </w:t>
            </w:r>
            <w:hyperlink r:id="rId26" w:history="1">
              <w:r w:rsidRPr="004E0998">
                <w:rPr>
                  <w:rStyle w:val="Hyperlink"/>
                  <w:rFonts w:cstheme="minorHAnsi"/>
                  <w:b/>
                  <w:lang w:eastAsia="es-ES"/>
                </w:rPr>
                <w:t>presentation</w:t>
              </w:r>
            </w:hyperlink>
            <w:r>
              <w:rPr>
                <w:rFonts w:cstheme="minorHAnsi"/>
                <w:b/>
                <w:lang w:eastAsia="es-ES"/>
              </w:rPr>
              <w:t xml:space="preserve"> by</w:t>
            </w:r>
            <w:r w:rsidRPr="004E0998">
              <w:rPr>
                <w:rFonts w:cstheme="minorHAnsi"/>
                <w:b/>
                <w:lang w:eastAsia="es-ES"/>
              </w:rPr>
              <w:t xml:space="preserve"> </w:t>
            </w:r>
            <w:proofErr w:type="spellStart"/>
            <w:r w:rsidRPr="004E0998">
              <w:rPr>
                <w:rFonts w:cstheme="minorHAnsi"/>
                <w:b/>
                <w:lang w:eastAsia="es-ES"/>
              </w:rPr>
              <w:t>Nerea</w:t>
            </w:r>
            <w:proofErr w:type="spellEnd"/>
            <w:r w:rsidRPr="004E0998">
              <w:rPr>
                <w:rFonts w:cstheme="minorHAnsi"/>
                <w:b/>
                <w:lang w:eastAsia="es-ES"/>
              </w:rPr>
              <w:t xml:space="preserve"> Ruiz (streaming)</w:t>
            </w:r>
          </w:p>
        </w:tc>
        <w:tc>
          <w:tcPr>
            <w:tcW w:w="1318" w:type="dxa"/>
          </w:tcPr>
          <w:p w14:paraId="14492A65" w14:textId="77777777" w:rsidR="00995C4B" w:rsidRDefault="00995C4B" w:rsidP="00665F72"/>
        </w:tc>
      </w:tr>
      <w:tr w:rsidR="00995C4B" w14:paraId="6AF153CC" w14:textId="77777777" w:rsidTr="00665F72">
        <w:tc>
          <w:tcPr>
            <w:tcW w:w="641" w:type="dxa"/>
          </w:tcPr>
          <w:p w14:paraId="6072F83E" w14:textId="4174A74B" w:rsidR="00995C4B" w:rsidRPr="00662F2F" w:rsidRDefault="00662F2F" w:rsidP="00665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7" w:type="dxa"/>
          </w:tcPr>
          <w:p w14:paraId="35AA5E02" w14:textId="460A18BA" w:rsidR="00995C4B" w:rsidRPr="004E0998" w:rsidRDefault="004E0998" w:rsidP="00665F72">
            <w:pPr>
              <w:rPr>
                <w:rFonts w:cstheme="minorHAnsi"/>
              </w:rPr>
            </w:pPr>
            <w:r w:rsidRPr="004E0998">
              <w:rPr>
                <w:rFonts w:cstheme="minorHAnsi"/>
                <w:b/>
              </w:rPr>
              <w:t>Decisions arising from Regular Meeting to be adopted</w:t>
            </w:r>
            <w:r w:rsidRPr="004E0998">
              <w:rPr>
                <w:rFonts w:cstheme="minorHAnsi"/>
                <w:b/>
              </w:rPr>
              <w:tab/>
            </w:r>
          </w:p>
        </w:tc>
        <w:tc>
          <w:tcPr>
            <w:tcW w:w="1318" w:type="dxa"/>
          </w:tcPr>
          <w:p w14:paraId="63E53363" w14:textId="77777777" w:rsidR="00995C4B" w:rsidRDefault="00995C4B" w:rsidP="00665F72"/>
        </w:tc>
      </w:tr>
      <w:tr w:rsidR="00995C4B" w14:paraId="007AEC93" w14:textId="77777777" w:rsidTr="00665F72">
        <w:tc>
          <w:tcPr>
            <w:tcW w:w="641" w:type="dxa"/>
          </w:tcPr>
          <w:p w14:paraId="4728BC75" w14:textId="77777777" w:rsidR="00995C4B" w:rsidRDefault="00995C4B" w:rsidP="00665F72"/>
        </w:tc>
        <w:tc>
          <w:tcPr>
            <w:tcW w:w="7057" w:type="dxa"/>
          </w:tcPr>
          <w:p w14:paraId="5683EB65" w14:textId="05DDBBF8" w:rsidR="004E0998" w:rsidRPr="004E0998" w:rsidRDefault="004E0998" w:rsidP="004E0998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>EWA Malt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ese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EnR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membership request - approved</w:t>
            </w:r>
          </w:p>
          <w:p w14:paraId="1DEA63B3" w14:textId="1099C65E" w:rsidR="004E0998" w:rsidRPr="004E0998" w:rsidRDefault="004E0998" w:rsidP="004E0998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>Supporter of Solar Power Europe Summit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 approved</w:t>
            </w: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(agreement later signed by Emilie)</w:t>
            </w:r>
          </w:p>
          <w:p w14:paraId="43FF93FB" w14:textId="574CE806" w:rsidR="004E0998" w:rsidRPr="004E0998" w:rsidRDefault="004E0998" w:rsidP="004E0998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Position Paper Energy Poverty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- approved</w:t>
            </w:r>
          </w:p>
          <w:p w14:paraId="3EDCE8BD" w14:textId="597063EA" w:rsidR="004E0998" w:rsidRPr="004E0998" w:rsidRDefault="004E0998" w:rsidP="004E0998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>ontinuation Task Force Energy poverty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- approved</w:t>
            </w:r>
          </w:p>
          <w:p w14:paraId="3BD96B5C" w14:textId="15B4D534" w:rsidR="004E0998" w:rsidRPr="004E0998" w:rsidRDefault="004E0998" w:rsidP="004E0998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WG industry: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There was </w:t>
            </w: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interest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from</w:t>
            </w: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12 </w:t>
            </w:r>
            <w:r w:rsidR="00662F2F"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>members,</w:t>
            </w: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but it is still “dormant” without Chair</w:t>
            </w:r>
          </w:p>
          <w:p w14:paraId="00D2BE62" w14:textId="34A78DA5" w:rsidR="00995C4B" w:rsidRPr="00995C4B" w:rsidRDefault="004E0998" w:rsidP="004E0998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cstheme="minorHAnsi"/>
              </w:rPr>
            </w:pP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>Flemish Energy Agency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EnR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membership request -</w:t>
            </w: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verify if they can represent Belgium, because only national agencies are eligible in ENR (Roberta has</w:t>
            </w:r>
            <w:r w:rsidR="00662F2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since</w:t>
            </w: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>checked</w:t>
            </w:r>
            <w:proofErr w:type="gramEnd"/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they </w:t>
            </w:r>
            <w:r w:rsidR="00662F2F">
              <w:rPr>
                <w:rFonts w:asciiTheme="minorHAnsi" w:eastAsiaTheme="minorHAnsi" w:hAnsiTheme="minorHAnsi" w:cstheme="minorHAnsi"/>
                <w:sz w:val="22"/>
                <w:szCs w:val="22"/>
              </w:rPr>
              <w:t>will not proceed</w:t>
            </w:r>
            <w:r w:rsidRPr="004E099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because they are regional)</w:t>
            </w:r>
          </w:p>
        </w:tc>
        <w:tc>
          <w:tcPr>
            <w:tcW w:w="1318" w:type="dxa"/>
          </w:tcPr>
          <w:p w14:paraId="2FDE5BF7" w14:textId="77777777" w:rsidR="00995C4B" w:rsidRDefault="00995C4B" w:rsidP="00665F72"/>
        </w:tc>
      </w:tr>
      <w:tr w:rsidR="00995C4B" w14:paraId="4119832B" w14:textId="77777777" w:rsidTr="00665F72">
        <w:tc>
          <w:tcPr>
            <w:tcW w:w="641" w:type="dxa"/>
          </w:tcPr>
          <w:p w14:paraId="06D27A37" w14:textId="204B1821" w:rsidR="00995C4B" w:rsidRPr="00662F2F" w:rsidRDefault="00662F2F" w:rsidP="00665F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057" w:type="dxa"/>
          </w:tcPr>
          <w:p w14:paraId="53A751A8" w14:textId="29D6BAB9" w:rsidR="00995C4B" w:rsidRPr="00662F2F" w:rsidRDefault="00662F2F" w:rsidP="00665F72">
            <w:pPr>
              <w:rPr>
                <w:rFonts w:cstheme="minorHAnsi"/>
                <w:b/>
              </w:rPr>
            </w:pPr>
            <w:r w:rsidRPr="00662F2F">
              <w:rPr>
                <w:rFonts w:cstheme="minorHAnsi"/>
                <w:b/>
              </w:rPr>
              <w:t>EWA signing ceremony</w:t>
            </w:r>
          </w:p>
        </w:tc>
        <w:tc>
          <w:tcPr>
            <w:tcW w:w="1318" w:type="dxa"/>
          </w:tcPr>
          <w:p w14:paraId="54F4742B" w14:textId="77777777" w:rsidR="00995C4B" w:rsidRDefault="00995C4B" w:rsidP="00665F72"/>
        </w:tc>
      </w:tr>
      <w:tr w:rsidR="00995C4B" w14:paraId="0AEE0A28" w14:textId="77777777" w:rsidTr="00665F72">
        <w:tc>
          <w:tcPr>
            <w:tcW w:w="641" w:type="dxa"/>
          </w:tcPr>
          <w:p w14:paraId="0AC9D188" w14:textId="33F8731E" w:rsidR="00995C4B" w:rsidRPr="00662F2F" w:rsidRDefault="00662F2F" w:rsidP="00665F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057" w:type="dxa"/>
          </w:tcPr>
          <w:p w14:paraId="7B77F7C3" w14:textId="386A9E94" w:rsidR="00995C4B" w:rsidRPr="00662F2F" w:rsidRDefault="00662F2F" w:rsidP="00665F72">
            <w:pPr>
              <w:rPr>
                <w:rFonts w:cstheme="minorHAnsi"/>
                <w:b/>
              </w:rPr>
            </w:pPr>
            <w:r w:rsidRPr="00662F2F">
              <w:rPr>
                <w:rFonts w:cstheme="minorHAnsi"/>
                <w:b/>
              </w:rPr>
              <w:t>Report from Outgoing Presidency (ENEA) and Handover</w:t>
            </w:r>
          </w:p>
        </w:tc>
        <w:tc>
          <w:tcPr>
            <w:tcW w:w="1318" w:type="dxa"/>
          </w:tcPr>
          <w:p w14:paraId="4468FE3C" w14:textId="77777777" w:rsidR="00995C4B" w:rsidRDefault="00995C4B" w:rsidP="00665F72"/>
        </w:tc>
      </w:tr>
      <w:tr w:rsidR="00995C4B" w14:paraId="6D2C59D5" w14:textId="77777777" w:rsidTr="00665F72">
        <w:tc>
          <w:tcPr>
            <w:tcW w:w="641" w:type="dxa"/>
          </w:tcPr>
          <w:p w14:paraId="69086982" w14:textId="0965DF85" w:rsidR="00995C4B" w:rsidRPr="00662F2F" w:rsidRDefault="00662F2F" w:rsidP="00665F72">
            <w:pPr>
              <w:rPr>
                <w:b/>
              </w:rPr>
            </w:pPr>
            <w:r w:rsidRPr="00662F2F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057" w:type="dxa"/>
          </w:tcPr>
          <w:p w14:paraId="02C49D49" w14:textId="5F446561" w:rsidR="00995C4B" w:rsidRPr="00662F2F" w:rsidRDefault="00662F2F" w:rsidP="00662F2F">
            <w:pPr>
              <w:rPr>
                <w:rFonts w:cstheme="minorHAnsi"/>
                <w:b/>
              </w:rPr>
            </w:pPr>
            <w:r w:rsidRPr="00662F2F">
              <w:rPr>
                <w:rFonts w:cstheme="minorHAnsi"/>
                <w:b/>
              </w:rPr>
              <w:t xml:space="preserve">Report from Incoming Presidency (EST) </w:t>
            </w:r>
            <w:r>
              <w:rPr>
                <w:rFonts w:cstheme="minorHAnsi"/>
                <w:b/>
              </w:rPr>
              <w:br/>
            </w:r>
            <w:hyperlink r:id="rId27" w:history="1">
              <w:r w:rsidRPr="00662F2F">
                <w:rPr>
                  <w:rStyle w:val="Hyperlink"/>
                  <w:rFonts w:cstheme="minorHAnsi"/>
                </w:rPr>
                <w:t>Presentation</w:t>
              </w:r>
            </w:hyperlink>
            <w:r w:rsidRPr="00662F2F">
              <w:rPr>
                <w:rFonts w:cstheme="minorHAnsi"/>
              </w:rPr>
              <w:t xml:space="preserve"> on Institutional speech about future steps on "International cooperation - the role of </w:t>
            </w:r>
            <w:proofErr w:type="spellStart"/>
            <w:r w:rsidRPr="00662F2F">
              <w:rPr>
                <w:rFonts w:cstheme="minorHAnsi"/>
              </w:rPr>
              <w:t>EnR</w:t>
            </w:r>
            <w:proofErr w:type="spellEnd"/>
            <w:r w:rsidRPr="00662F2F">
              <w:rPr>
                <w:rFonts w:cstheme="minorHAnsi"/>
              </w:rPr>
              <w:t xml:space="preserve"> and its members in the international arena"</w:t>
            </w:r>
          </w:p>
        </w:tc>
        <w:tc>
          <w:tcPr>
            <w:tcW w:w="1318" w:type="dxa"/>
          </w:tcPr>
          <w:p w14:paraId="4BD2B310" w14:textId="77777777" w:rsidR="00995C4B" w:rsidRDefault="00995C4B" w:rsidP="00665F72"/>
        </w:tc>
      </w:tr>
      <w:tr w:rsidR="00995C4B" w14:paraId="65E924A4" w14:textId="77777777" w:rsidTr="00665F72">
        <w:tc>
          <w:tcPr>
            <w:tcW w:w="641" w:type="dxa"/>
          </w:tcPr>
          <w:p w14:paraId="597F3C3C" w14:textId="45FAEC60" w:rsidR="00995C4B" w:rsidRPr="00662F2F" w:rsidRDefault="00662F2F" w:rsidP="00665F72">
            <w:pPr>
              <w:rPr>
                <w:rFonts w:cstheme="minorHAnsi"/>
                <w:b/>
              </w:rPr>
            </w:pPr>
            <w:r w:rsidRPr="00662F2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7057" w:type="dxa"/>
          </w:tcPr>
          <w:p w14:paraId="440C4379" w14:textId="77777777" w:rsidR="00662F2F" w:rsidRDefault="00662F2F" w:rsidP="00665F72">
            <w:pPr>
              <w:rPr>
                <w:rFonts w:cstheme="minorHAnsi"/>
                <w:b/>
              </w:rPr>
            </w:pPr>
            <w:r w:rsidRPr="00662F2F">
              <w:rPr>
                <w:rFonts w:cstheme="minorHAnsi"/>
                <w:b/>
              </w:rPr>
              <w:t xml:space="preserve">Meetings/Venues 2019/20 &amp; Presidencies beyond 2019 </w:t>
            </w:r>
          </w:p>
          <w:p w14:paraId="01BE9D28" w14:textId="0D8AD9D1" w:rsidR="00662F2F" w:rsidRDefault="00662F2F" w:rsidP="00662F2F">
            <w:pPr>
              <w:tabs>
                <w:tab w:val="left" w:pos="7655"/>
              </w:tabs>
              <w:ind w:right="-96"/>
              <w:rPr>
                <w:rFonts w:cstheme="minorHAnsi"/>
              </w:rPr>
            </w:pPr>
            <w:r w:rsidRPr="0038732A">
              <w:rPr>
                <w:rFonts w:cstheme="minorHAnsi"/>
              </w:rPr>
              <w:t>Meeting hosts / venues:</w:t>
            </w:r>
          </w:p>
          <w:p w14:paraId="089FC354" w14:textId="77777777" w:rsidR="00662F2F" w:rsidRPr="0038732A" w:rsidRDefault="00662F2F" w:rsidP="00662F2F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>Regular Meeting ADENE in Lisbon on 26-27 June</w:t>
            </w:r>
          </w:p>
          <w:p w14:paraId="74151F0B" w14:textId="77777777" w:rsidR="00662F2F" w:rsidRPr="0038732A" w:rsidRDefault="00662F2F" w:rsidP="00662F2F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</w:pPr>
            <w:r w:rsidRPr="0038732A">
              <w:rPr>
                <w:rFonts w:asciiTheme="minorHAnsi" w:eastAsiaTheme="minorHAnsi" w:hAnsiTheme="minorHAnsi" w:cstheme="minorHAnsi"/>
                <w:sz w:val="22"/>
                <w:szCs w:val="22"/>
              </w:rPr>
              <w:t>TGM Brussels 1 or 2 October</w:t>
            </w:r>
          </w:p>
          <w:p w14:paraId="6954DC4D" w14:textId="77777777" w:rsidR="00662F2F" w:rsidRDefault="00662F2F" w:rsidP="00662F2F">
            <w:pPr>
              <w:tabs>
                <w:tab w:val="left" w:pos="7655"/>
              </w:tabs>
              <w:ind w:right="-96"/>
            </w:pPr>
          </w:p>
          <w:p w14:paraId="77945581" w14:textId="77777777" w:rsidR="00662F2F" w:rsidRDefault="00662F2F" w:rsidP="00662F2F">
            <w:pPr>
              <w:tabs>
                <w:tab w:val="left" w:pos="7655"/>
              </w:tabs>
              <w:ind w:right="-96"/>
            </w:pPr>
            <w:r>
              <w:t xml:space="preserve">Presidencies </w:t>
            </w:r>
          </w:p>
          <w:p w14:paraId="10A12669" w14:textId="77777777" w:rsidR="00662F2F" w:rsidRPr="00AC1725" w:rsidRDefault="00662F2F" w:rsidP="00662F2F">
            <w:pPr>
              <w:pStyle w:val="ListParagraph"/>
              <w:numPr>
                <w:ilvl w:val="0"/>
                <w:numId w:val="2"/>
              </w:numPr>
              <w:tabs>
                <w:tab w:val="left" w:pos="7655"/>
              </w:tabs>
              <w:ind w:right="-96"/>
              <w:rPr>
                <w:rFonts w:asciiTheme="minorHAnsi" w:hAnsiTheme="minorHAnsi" w:cstheme="minorHAnsi"/>
                <w:sz w:val="22"/>
                <w:szCs w:val="22"/>
              </w:rPr>
            </w:pPr>
            <w:r w:rsidRPr="00AC1725">
              <w:rPr>
                <w:rFonts w:asciiTheme="minorHAnsi" w:hAnsiTheme="minorHAnsi" w:cstheme="minorHAnsi"/>
                <w:sz w:val="22"/>
                <w:szCs w:val="22"/>
              </w:rPr>
              <w:t>2019/20 – Energy Saving Trust</w:t>
            </w:r>
          </w:p>
          <w:p w14:paraId="0136AD61" w14:textId="28A28E09" w:rsidR="00995C4B" w:rsidRPr="00662F2F" w:rsidRDefault="00662F2F" w:rsidP="00662F2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F2F">
              <w:rPr>
                <w:rFonts w:asciiTheme="minorHAnsi" w:hAnsiTheme="minorHAnsi" w:cstheme="minorHAnsi"/>
                <w:sz w:val="22"/>
                <w:szCs w:val="22"/>
              </w:rPr>
              <w:t>2020/21 - TBC</w:t>
            </w:r>
          </w:p>
        </w:tc>
        <w:tc>
          <w:tcPr>
            <w:tcW w:w="1318" w:type="dxa"/>
          </w:tcPr>
          <w:p w14:paraId="29A62513" w14:textId="77777777" w:rsidR="00995C4B" w:rsidRDefault="00995C4B" w:rsidP="00665F72"/>
        </w:tc>
      </w:tr>
    </w:tbl>
    <w:p w14:paraId="5B55ABD1" w14:textId="77777777" w:rsidR="00995C4B" w:rsidRDefault="00995C4B"/>
    <w:sectPr w:rsidR="00995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14C"/>
    <w:multiLevelType w:val="hybridMultilevel"/>
    <w:tmpl w:val="84C61B12"/>
    <w:lvl w:ilvl="0" w:tplc="E2DCC2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28AD"/>
    <w:multiLevelType w:val="multilevel"/>
    <w:tmpl w:val="6A0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D94"/>
    <w:multiLevelType w:val="hybridMultilevel"/>
    <w:tmpl w:val="C096AEA2"/>
    <w:lvl w:ilvl="0" w:tplc="00B2F3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0225F"/>
    <w:multiLevelType w:val="multilevel"/>
    <w:tmpl w:val="996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D6"/>
    <w:rsid w:val="000C34D8"/>
    <w:rsid w:val="001459B5"/>
    <w:rsid w:val="0014749F"/>
    <w:rsid w:val="003619C4"/>
    <w:rsid w:val="0038732A"/>
    <w:rsid w:val="003E728E"/>
    <w:rsid w:val="00400189"/>
    <w:rsid w:val="00493F43"/>
    <w:rsid w:val="004E0998"/>
    <w:rsid w:val="00501219"/>
    <w:rsid w:val="00537376"/>
    <w:rsid w:val="005A0CC5"/>
    <w:rsid w:val="00662F2F"/>
    <w:rsid w:val="00915396"/>
    <w:rsid w:val="00995C4B"/>
    <w:rsid w:val="009B09F6"/>
    <w:rsid w:val="00A84785"/>
    <w:rsid w:val="00AC1725"/>
    <w:rsid w:val="00B460BE"/>
    <w:rsid w:val="00B52C82"/>
    <w:rsid w:val="00B8442D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6DAAAE"/>
  <w15:chartTrackingRefBased/>
  <w15:docId w15:val="{5E7BD6DD-A799-40E5-8DAF-6E679245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C34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7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F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4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r-network.org/wp-content/uploads/EWA-MALTA-Presentation.pdf" TargetMode="External"/><Relationship Id="rId13" Type="http://schemas.openxmlformats.org/officeDocument/2006/relationships/hyperlink" Target="http://enr-network.org/wp-content/uploads/Building-WG-Presentation-M64.v0.pptx" TargetMode="External"/><Relationship Id="rId18" Type="http://schemas.openxmlformats.org/officeDocument/2006/relationships/hyperlink" Target="http://enr-network.org/wp-content/uploads/EnR-WG-update-ELED.pdf" TargetMode="External"/><Relationship Id="rId26" Type="http://schemas.openxmlformats.org/officeDocument/2006/relationships/hyperlink" Target="http://enr-network.org/wp-content/uploads/ECOS_EnR-14-02-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nr-network.org/wp-content/uploads/Vlasis-Oikonomou_PUBLENEF_Final-Conference.pdf" TargetMode="External"/><Relationship Id="rId7" Type="http://schemas.openxmlformats.org/officeDocument/2006/relationships/hyperlink" Target="http://enr-network.org/wp-content/uploads/Georg-Maue.pdf" TargetMode="External"/><Relationship Id="rId12" Type="http://schemas.openxmlformats.org/officeDocument/2006/relationships/hyperlink" Target="http://enr-network.org/wp-content/uploads/Survey-overview_WG-Industry.pdf" TargetMode="External"/><Relationship Id="rId17" Type="http://schemas.openxmlformats.org/officeDocument/2006/relationships/hyperlink" Target="http://enr-network.org/wp-content/uploads/WG-Behaviour-Change_Activity-Report_M64.pptx" TargetMode="External"/><Relationship Id="rId25" Type="http://schemas.openxmlformats.org/officeDocument/2006/relationships/hyperlink" Target="http://enr-network.org/wp-content/uploads/Bohnenberger_EnergySufficiency_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r-network.org/wp-content/uploads/WG-monitoring-M64berlin-February-2019-ODYSSEE-MURE-2019-2022-Workprogramme-club-EnR.pptx" TargetMode="External"/><Relationship Id="rId20" Type="http://schemas.openxmlformats.org/officeDocument/2006/relationships/hyperlink" Target="http://enr-network.org/wp-content/uploads/EnR-Presidency-2019-Draft-V4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nr-network.org/m64-full-regular-meeting-13-14-february-2019/" TargetMode="External"/><Relationship Id="rId24" Type="http://schemas.openxmlformats.org/officeDocument/2006/relationships/hyperlink" Target="http://enr-network.org/m64-full-regular-meeting-13-14-february-20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r-network.org/wp-content/uploads/EnR-Transport-WG-Update-M64-v1.pptx" TargetMode="External"/><Relationship Id="rId23" Type="http://schemas.openxmlformats.org/officeDocument/2006/relationships/hyperlink" Target="http://enr-network.org/m64-full-regular-meeting-13-14-february-201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r-network.org/m64-full-regular-meeting-13-14-february-2019/" TargetMode="External"/><Relationship Id="rId19" Type="http://schemas.openxmlformats.org/officeDocument/2006/relationships/hyperlink" Target="http://enr-network.org/wp-content/uploads/ENEA-energy-poverty-1302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r-network.org/wp-content/uploads/EWA-MALTA-Evaluation-Report.pdf" TargetMode="External"/><Relationship Id="rId14" Type="http://schemas.openxmlformats.org/officeDocument/2006/relationships/hyperlink" Target="http://enr-network.org/wp-content/uploads/EEWG-M64-Louiza.pptx" TargetMode="External"/><Relationship Id="rId22" Type="http://schemas.openxmlformats.org/officeDocument/2006/relationships/hyperlink" Target="http://enr-network.org/m64-full-regular-meeting-13-14-february-2019/" TargetMode="External"/><Relationship Id="rId27" Type="http://schemas.openxmlformats.org/officeDocument/2006/relationships/hyperlink" Target="http://enr-network.org/wp-content/uploads/EnR-Presidency-2019-Draft-V4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87DE-5A7A-4194-A20A-8272DE7F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Hoy</dc:creator>
  <cp:keywords/>
  <dc:description/>
  <cp:lastModifiedBy>Katie Hoy</cp:lastModifiedBy>
  <cp:revision>4</cp:revision>
  <dcterms:created xsi:type="dcterms:W3CDTF">2019-04-11T07:23:00Z</dcterms:created>
  <dcterms:modified xsi:type="dcterms:W3CDTF">2019-05-28T09:14:00Z</dcterms:modified>
</cp:coreProperties>
</file>